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4090"/>
      <w:bookmarkStart w:id="1" w:name="_Toc29322"/>
      <w:bookmarkStart w:id="2" w:name="_Toc27661"/>
      <w:bookmarkStart w:id="3" w:name="_Toc16094"/>
      <w:bookmarkStart w:id="4" w:name="_Toc16246"/>
      <w:r>
        <w:rPr>
          <w:rFonts w:hint="eastAsia" w:ascii="仿宋" w:hAnsi="仿宋" w:eastAsia="仿宋"/>
          <w:b/>
          <w:sz w:val="28"/>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251"/>
        <w:gridCol w:w="337"/>
        <w:gridCol w:w="813"/>
        <w:gridCol w:w="949"/>
        <w:gridCol w:w="272"/>
        <w:gridCol w:w="322"/>
        <w:gridCol w:w="904"/>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中国石油天然气股份有限公司重庆北碚销售分公司澄江加油站安全现状评价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3"/>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仿宋" w:hAnsi="仿宋" w:eastAsia="仿宋" w:cs="Times New Roman"/>
                <w:b/>
                <w:kern w:val="2"/>
                <w:sz w:val="21"/>
                <w:szCs w:val="21"/>
                <w:lang w:val="en-US" w:eastAsia="zh-CN" w:bidi="ar-SA"/>
              </w:rPr>
            </w:pPr>
            <w:r>
              <w:rPr>
                <w:rFonts w:hint="eastAsia" w:ascii="仿宋" w:hAnsi="仿宋" w:eastAsia="仿宋"/>
                <w:b/>
                <w:szCs w:val="21"/>
              </w:rPr>
              <w:t>安全评价项目管理</w:t>
            </w:r>
          </w:p>
          <w:p>
            <w:pPr>
              <w:spacing w:line="320" w:lineRule="exact"/>
              <w:jc w:val="center"/>
              <w:rPr>
                <w:rFonts w:hint="eastAsia" w:ascii="仿宋" w:hAnsi="仿宋" w:eastAsia="仿宋"/>
                <w:b/>
              </w:rPr>
            </w:pP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ascii="仿宋" w:hAnsi="仿宋" w:eastAsia="仿宋" w:cs="Times New Roman"/>
                <w:b/>
                <w:kern w:val="2"/>
                <w:sz w:val="21"/>
                <w:szCs w:val="21"/>
                <w:lang w:val="en-US" w:eastAsia="zh-CN" w:bidi="ar-SA"/>
              </w:rPr>
            </w:pPr>
            <w:r>
              <w:rPr>
                <w:rFonts w:hint="eastAsia" w:ascii="仿宋" w:hAnsi="仿宋" w:eastAsia="仿宋"/>
                <w:b/>
                <w:szCs w:val="21"/>
              </w:rPr>
              <w:t>编制过程</w:t>
            </w:r>
          </w:p>
          <w:p>
            <w:pPr>
              <w:spacing w:line="500" w:lineRule="exact"/>
              <w:jc w:val="center"/>
              <w:rPr>
                <w:rFonts w:hint="eastAsia" w:ascii="仿宋" w:hAnsi="仿宋" w:eastAsia="仿宋"/>
                <w:b/>
              </w:rPr>
            </w:pP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pStyle w:val="2"/>
              <w:ind w:firstLine="420" w:firstLineChars="200"/>
              <w:rPr>
                <w:rFonts w:hint="eastAsia" w:ascii="Times New Roman"/>
                <w:color w:val="auto"/>
                <w:szCs w:val="28"/>
                <w:highlight w:val="none"/>
              </w:rPr>
            </w:pPr>
            <w:r>
              <w:rPr>
                <w:rFonts w:hint="eastAsia" w:ascii="Times New Roman"/>
                <w:color w:val="auto"/>
                <w:szCs w:val="28"/>
                <w:highlight w:val="none"/>
              </w:rPr>
              <w:t>中国石油天然气股份有限公司重庆北碚销售分公司澄江加油站（以下简称：澄江加油站）地处重庆市北碚区澄江镇运河村大石头，占地面积525 m2，建筑面积152m2，站内储罐总容积55m3（柴油罐容积折半计入油罐总容积）（其中20m392#汽油储罐1座、20m395#汽油储罐1座、30m3柴油储罐1座，加油机2台，加油枪8把），属于三级加油站。</w:t>
            </w:r>
          </w:p>
          <w:p>
            <w:pPr>
              <w:pStyle w:val="2"/>
              <w:rPr>
                <w:rFonts w:hint="eastAsia" w:ascii="仿宋" w:hAnsi="仿宋" w:eastAsia="仿宋" w:cs="宋体"/>
                <w:szCs w:val="21"/>
                <w:lang w:eastAsia="zh-CN"/>
              </w:rPr>
            </w:pPr>
            <w:r>
              <w:drawing>
                <wp:inline distT="0" distB="0" distL="114300" distR="114300">
                  <wp:extent cx="2882265" cy="3865245"/>
                  <wp:effectExtent l="0" t="0" r="13335" b="1905"/>
                  <wp:docPr id="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pic:cNvPicPr>
                            <a:picLocks noChangeAspect="1"/>
                          </pic:cNvPicPr>
                        </pic:nvPicPr>
                        <pic:blipFill>
                          <a:blip r:embed="rId4"/>
                          <a:stretch>
                            <a:fillRect/>
                          </a:stretch>
                        </pic:blipFill>
                        <pic:spPr>
                          <a:xfrm>
                            <a:off x="0" y="0"/>
                            <a:ext cx="2882265" cy="38652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38"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2" w:type="dxa"/>
            <w:gridSpan w:val="5"/>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38"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2" w:type="dxa"/>
            <w:gridSpan w:val="5"/>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38"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2"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38"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114F4E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character" w:customStyle="1" w:styleId="5">
    <w:name w:val="正文cmb Char"/>
    <w:link w:val="6"/>
    <w:qFormat/>
    <w:uiPriority w:val="0"/>
    <w:rPr>
      <w:rFonts w:ascii="Arial" w:hAnsi="Arial"/>
      <w:color w:val="000000"/>
      <w:kern w:val="0"/>
      <w:sz w:val="28"/>
    </w:rPr>
  </w:style>
  <w:style w:type="paragraph" w:customStyle="1" w:styleId="6">
    <w:name w:val="正文cmb"/>
    <w:basedOn w:val="1"/>
    <w:link w:val="5"/>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2025-05-27T02:45:11Z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