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rPr>
      </w:pPr>
      <w:bookmarkStart w:id="0" w:name="_Toc24090"/>
      <w:bookmarkStart w:id="1" w:name="_Toc16094"/>
      <w:bookmarkStart w:id="2" w:name="_Toc16246"/>
      <w:bookmarkStart w:id="3" w:name="_Toc29322"/>
      <w:bookmarkStart w:id="4" w:name="_Toc27661"/>
      <w:r>
        <w:rPr>
          <w:rFonts w:hint="eastAsia" w:ascii="仿宋" w:hAnsi="仿宋" w:eastAsia="仿宋"/>
          <w:b/>
          <w:sz w:val="28"/>
        </w:rPr>
        <w:t>安全评价报告信息公布表</w:t>
      </w:r>
      <w:bookmarkEnd w:id="0"/>
      <w:bookmarkEnd w:id="1"/>
      <w:bookmarkEnd w:id="2"/>
      <w:bookmarkEnd w:id="3"/>
      <w:bookmarkEnd w:id="4"/>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7"/>
        <w:gridCol w:w="589"/>
        <w:gridCol w:w="813"/>
        <w:gridCol w:w="950"/>
        <w:gridCol w:w="271"/>
        <w:gridCol w:w="39"/>
        <w:gridCol w:w="1186"/>
        <w:gridCol w:w="102"/>
        <w:gridCol w:w="163"/>
        <w:gridCol w:w="718"/>
        <w:gridCol w:w="493"/>
        <w:gridCol w:w="1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机构名称</w:t>
            </w:r>
          </w:p>
        </w:tc>
        <w:tc>
          <w:tcPr>
            <w:tcW w:w="3936"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kern w:val="0"/>
                <w:szCs w:val="21"/>
              </w:rPr>
              <w:t>重庆市安全生产科学研究有限公司</w:t>
            </w:r>
          </w:p>
        </w:tc>
        <w:tc>
          <w:tcPr>
            <w:tcW w:w="159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资质证号</w:t>
            </w:r>
          </w:p>
        </w:tc>
        <w:tc>
          <w:tcPr>
            <w:tcW w:w="303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委托单位</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color w:val="auto"/>
                <w:szCs w:val="21"/>
                <w:lang w:val="en-US" w:eastAsia="zh-CN"/>
              </w:rPr>
              <w:t>中国石油天然气股份有限公司重庆北碚销售分公司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项目名称</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Cs/>
                <w:kern w:val="2"/>
                <w:sz w:val="21"/>
                <w:szCs w:val="21"/>
                <w:lang w:val="en-US" w:eastAsia="zh-CN" w:bidi="ar-SA"/>
              </w:rPr>
            </w:pPr>
            <w:r>
              <w:rPr>
                <w:rFonts w:hint="eastAsia" w:ascii="仿宋" w:hAnsi="仿宋" w:eastAsia="仿宋"/>
                <w:color w:val="auto"/>
                <w:szCs w:val="21"/>
                <w:lang w:val="en-US" w:eastAsia="zh-CN"/>
              </w:rPr>
              <w:t>中国石油天然气股份有限公司重庆北碚销售分公司施家梁安全现状评价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项目类别</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Times New Roman"/>
                <w:kern w:val="2"/>
                <w:sz w:val="21"/>
                <w:szCs w:val="21"/>
                <w:lang w:val="en-US" w:eastAsia="zh-CN" w:bidi="ar-SA"/>
              </w:rPr>
            </w:pPr>
            <w:r>
              <w:rPr>
                <w:rFonts w:hint="eastAsia" w:ascii="仿宋" w:hAnsi="仿宋" w:eastAsia="仿宋"/>
                <w:b/>
                <w:szCs w:val="21"/>
              </w:rPr>
              <w:t>所属业务类别</w:t>
            </w:r>
          </w:p>
        </w:tc>
        <w:tc>
          <w:tcPr>
            <w:tcW w:w="7895" w:type="dxa"/>
            <w:gridSpan w:val="12"/>
            <w:tcBorders>
              <w:top w:val="single" w:color="auto" w:sz="4" w:space="0"/>
              <w:left w:val="single" w:color="auto" w:sz="4" w:space="0"/>
              <w:bottom w:val="single" w:color="auto" w:sz="4" w:space="0"/>
              <w:right w:val="single" w:color="auto" w:sz="4" w:space="0"/>
            </w:tcBorders>
            <w:noWrap w:val="0"/>
            <w:vAlign w:val="top"/>
          </w:tcPr>
          <w:p>
            <w:pPr>
              <w:spacing w:line="400" w:lineRule="exact"/>
              <w:ind w:firstLine="2310" w:firstLineChars="1100"/>
              <w:rPr>
                <w:rFonts w:hint="eastAsia" w:ascii="仿宋" w:hAnsi="仿宋" w:eastAsia="仿宋" w:cs="Times New Roman"/>
                <w:kern w:val="2"/>
                <w:sz w:val="21"/>
                <w:szCs w:val="21"/>
                <w:lang w:val="en-US" w:eastAsia="zh-CN" w:bidi="ar-SA"/>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szCs w:val="21"/>
              </w:rPr>
              <w:t>安全评价项目管理</w:t>
            </w:r>
          </w:p>
        </w:tc>
        <w:tc>
          <w:tcPr>
            <w:tcW w:w="29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项目组组长</w:t>
            </w:r>
          </w:p>
        </w:tc>
        <w:tc>
          <w:tcPr>
            <w:tcW w:w="2711"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技术负责人</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9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李伟</w:t>
            </w:r>
          </w:p>
        </w:tc>
        <w:tc>
          <w:tcPr>
            <w:tcW w:w="2711"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刘国勇</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szCs w:val="21"/>
              </w:rPr>
              <w:t>编制过程</w:t>
            </w:r>
          </w:p>
        </w:tc>
        <w:tc>
          <w:tcPr>
            <w:tcW w:w="2173"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报告编制人</w:t>
            </w:r>
          </w:p>
        </w:tc>
        <w:tc>
          <w:tcPr>
            <w:tcW w:w="2073"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报告提交日期</w:t>
            </w:r>
          </w:p>
        </w:tc>
        <w:tc>
          <w:tcPr>
            <w:tcW w:w="2169"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报告审核人</w:t>
            </w: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173"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李伟、高创波</w:t>
            </w:r>
          </w:p>
        </w:tc>
        <w:tc>
          <w:tcPr>
            <w:tcW w:w="2073"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2025.5</w:t>
            </w:r>
          </w:p>
        </w:tc>
        <w:tc>
          <w:tcPr>
            <w:tcW w:w="2169"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bookmarkStart w:id="5" w:name="_GoBack"/>
            <w:r>
              <w:rPr>
                <w:rFonts w:hint="eastAsia" w:ascii="仿宋" w:hAnsi="仿宋" w:eastAsia="仿宋"/>
                <w:szCs w:val="21"/>
                <w:lang w:val="en-US" w:eastAsia="zh-CN"/>
              </w:rPr>
              <w:t>蒋平</w:t>
            </w:r>
            <w:bookmarkEnd w:id="5"/>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姓  名</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认定专业</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安全评价师从业识别卡/证书编号</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注册证号</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李伟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安全</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1800000000201223</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刘文娟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自动化</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1700000000201153</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55140156484</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田祖伟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化工工艺</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1700000000301781</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55180193956</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林波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化工工艺</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55190209531</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周智建</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安全</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lang w:val="en-US" w:eastAsia="zh-CN" w:bidi="ar-SA"/>
              </w:rPr>
              <w:t>19210260456</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孟萌萌</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电气</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1100000000301652</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高胡容</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电气</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55220298705</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唐波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化工机械</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55230327662</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贾名涛</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化工机械</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55220298750</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高创波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油气储运</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55210270139</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Times New Roman"/>
                <w:b/>
                <w:kern w:val="2"/>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b/>
                <w:szCs w:val="21"/>
              </w:rPr>
              <w:t>项目简介</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420" w:firstLineChars="200"/>
              <w:rPr>
                <w:rFonts w:ascii="Arial" w:hAnsi="Arial" w:cs="Arial"/>
                <w:kern w:val="0"/>
                <w:szCs w:val="28"/>
                <w:highlight w:val="none"/>
              </w:rPr>
            </w:pPr>
            <w:r>
              <w:rPr>
                <w:rFonts w:ascii="Arial" w:hAnsi="Arial" w:cs="Arial"/>
                <w:highlight w:val="none"/>
              </w:rPr>
              <w:t>中国石油天然气股份有限公司重庆北碚销售分公司施家梁加油站（以下简称：施家梁加油站）</w:t>
            </w:r>
            <w:r>
              <w:rPr>
                <w:rFonts w:hint="eastAsia" w:ascii="Arial" w:hAnsi="Arial" w:cs="Arial"/>
                <w:highlight w:val="none"/>
              </w:rPr>
              <w:t>，于2</w:t>
            </w:r>
            <w:r>
              <w:rPr>
                <w:rFonts w:ascii="Arial" w:hAnsi="Arial" w:cs="Arial"/>
                <w:highlight w:val="none"/>
              </w:rPr>
              <w:t>018</w:t>
            </w:r>
            <w:r>
              <w:rPr>
                <w:rFonts w:hint="eastAsia" w:ascii="Arial" w:hAnsi="Arial" w:cs="Arial"/>
                <w:highlight w:val="none"/>
              </w:rPr>
              <w:t>年</w:t>
            </w:r>
            <w:r>
              <w:rPr>
                <w:rFonts w:ascii="Arial" w:hAnsi="Arial" w:cs="Arial"/>
                <w:highlight w:val="none"/>
              </w:rPr>
              <w:t>5</w:t>
            </w:r>
            <w:r>
              <w:rPr>
                <w:rFonts w:hint="eastAsia" w:ascii="Arial" w:hAnsi="Arial" w:cs="Arial"/>
                <w:highlight w:val="none"/>
              </w:rPr>
              <w:t>月进行改造，</w:t>
            </w:r>
            <w:r>
              <w:rPr>
                <w:rFonts w:ascii="Arial" w:hAnsi="Arial" w:cs="Arial"/>
                <w:highlight w:val="none"/>
              </w:rPr>
              <w:t>新建钢筋混凝土结构防渗漏油罐池一座，工艺管线采用无缝钢管，敷设在防渗管沟内</w:t>
            </w:r>
            <w:r>
              <w:rPr>
                <w:rFonts w:hint="eastAsia" w:ascii="Arial" w:hAnsi="Arial" w:cs="Arial"/>
                <w:highlight w:val="none"/>
              </w:rPr>
              <w:t>。施家梁加油站</w:t>
            </w:r>
            <w:r>
              <w:rPr>
                <w:rFonts w:ascii="Arial" w:hAnsi="Arial" w:cs="Arial"/>
                <w:kern w:val="0"/>
                <w:szCs w:val="28"/>
                <w:highlight w:val="none"/>
              </w:rPr>
              <w:t>位于</w:t>
            </w:r>
            <w:r>
              <w:rPr>
                <w:rFonts w:ascii="Arial" w:hAnsi="Arial" w:cs="Arial"/>
                <w:szCs w:val="28"/>
                <w:highlight w:val="none"/>
              </w:rPr>
              <w:t>重庆市北碚区施家梁镇狮子村</w:t>
            </w:r>
            <w:r>
              <w:rPr>
                <w:rFonts w:ascii="Arial" w:hAnsi="Arial" w:cs="Arial"/>
                <w:kern w:val="0"/>
                <w:szCs w:val="28"/>
                <w:highlight w:val="none"/>
              </w:rPr>
              <w:t>，</w:t>
            </w:r>
            <w:r>
              <w:rPr>
                <w:rFonts w:ascii="Arial" w:hAnsi="Arial" w:cs="Arial"/>
                <w:highlight w:val="none"/>
              </w:rPr>
              <w:t>占地面积</w:t>
            </w:r>
            <w:r>
              <w:rPr>
                <w:rFonts w:ascii="Arial" w:hAnsi="Arial" w:cs="Arial"/>
                <w:kern w:val="0"/>
                <w:szCs w:val="28"/>
                <w:highlight w:val="none"/>
              </w:rPr>
              <w:t>2450</w:t>
            </w:r>
            <w:r>
              <w:rPr>
                <w:rFonts w:ascii="Arial" w:hAnsi="Arial" w:cs="Arial"/>
                <w:highlight w:val="none"/>
              </w:rPr>
              <w:t xml:space="preserve"> m</w:t>
            </w:r>
            <w:r>
              <w:rPr>
                <w:rFonts w:ascii="Arial" w:hAnsi="Arial" w:cs="Arial"/>
                <w:highlight w:val="none"/>
                <w:vertAlign w:val="superscript"/>
              </w:rPr>
              <w:t>2</w:t>
            </w:r>
            <w:r>
              <w:rPr>
                <w:rFonts w:ascii="Arial" w:hAnsi="Arial" w:cs="Arial"/>
                <w:kern w:val="0"/>
                <w:szCs w:val="28"/>
                <w:highlight w:val="none"/>
              </w:rPr>
              <w:t>，</w:t>
            </w:r>
            <w:r>
              <w:rPr>
                <w:rFonts w:hint="eastAsia" w:ascii="Arial" w:hAnsi="Arial" w:cs="Arial"/>
                <w:kern w:val="0"/>
                <w:szCs w:val="28"/>
                <w:highlight w:val="none"/>
              </w:rPr>
              <w:t>建筑面积为</w:t>
            </w:r>
            <w:r>
              <w:rPr>
                <w:rFonts w:ascii="Arial" w:hAnsi="Arial" w:cs="Arial"/>
                <w:kern w:val="0"/>
                <w:szCs w:val="28"/>
                <w:highlight w:val="none"/>
              </w:rPr>
              <w:t>600</w:t>
            </w:r>
            <w:r>
              <w:rPr>
                <w:rFonts w:ascii="Arial" w:hAnsi="Arial" w:cs="Arial"/>
                <w:highlight w:val="none"/>
              </w:rPr>
              <w:t xml:space="preserve"> m</w:t>
            </w:r>
            <w:r>
              <w:rPr>
                <w:rFonts w:ascii="Arial" w:hAnsi="Arial" w:cs="Arial"/>
                <w:highlight w:val="none"/>
                <w:vertAlign w:val="superscript"/>
              </w:rPr>
              <w:t>2</w:t>
            </w:r>
            <w:r>
              <w:rPr>
                <w:rFonts w:hint="eastAsia" w:ascii="Arial" w:hAnsi="Arial" w:cs="Arial"/>
                <w:kern w:val="0"/>
                <w:szCs w:val="28"/>
                <w:highlight w:val="none"/>
              </w:rPr>
              <w:t>，</w:t>
            </w:r>
            <w:r>
              <w:rPr>
                <w:rFonts w:ascii="Arial" w:hAnsi="Arial" w:cs="Arial"/>
                <w:kern w:val="0"/>
                <w:szCs w:val="28"/>
                <w:highlight w:val="none"/>
              </w:rPr>
              <w:t>站内</w:t>
            </w:r>
            <w:r>
              <w:rPr>
                <w:rFonts w:ascii="Arial" w:hAnsi="Arial" w:cs="Arial"/>
                <w:szCs w:val="28"/>
                <w:highlight w:val="none"/>
              </w:rPr>
              <w:t>储罐</w:t>
            </w:r>
            <w:r>
              <w:rPr>
                <w:rFonts w:ascii="Arial" w:hAnsi="Arial" w:cs="Arial"/>
                <w:color w:val="000000"/>
                <w:szCs w:val="28"/>
                <w:highlight w:val="none"/>
              </w:rPr>
              <w:t>总容积50m</w:t>
            </w:r>
            <w:r>
              <w:rPr>
                <w:rFonts w:ascii="Arial" w:hAnsi="Arial" w:cs="Arial"/>
                <w:color w:val="000000"/>
                <w:szCs w:val="28"/>
                <w:highlight w:val="none"/>
                <w:vertAlign w:val="superscript"/>
              </w:rPr>
              <w:t>3</w:t>
            </w:r>
            <w:r>
              <w:rPr>
                <w:rFonts w:ascii="Arial" w:hAnsi="Arial" w:cs="Arial"/>
                <w:highlight w:val="none"/>
              </w:rPr>
              <w:t>（</w:t>
            </w:r>
            <w:r>
              <w:rPr>
                <w:rFonts w:ascii="Arial" w:hAnsi="Arial" w:cs="Arial"/>
                <w:kern w:val="0"/>
                <w:szCs w:val="28"/>
                <w:highlight w:val="none"/>
              </w:rPr>
              <w:t>柴油罐容积折半计入油罐总容积</w:t>
            </w:r>
            <w:r>
              <w:rPr>
                <w:rFonts w:ascii="Arial" w:hAnsi="Arial" w:cs="Arial"/>
                <w:highlight w:val="none"/>
              </w:rPr>
              <w:t>）</w:t>
            </w:r>
            <w:r>
              <w:rPr>
                <w:rFonts w:ascii="Arial" w:hAnsi="Arial" w:cs="Arial"/>
                <w:color w:val="000000"/>
                <w:szCs w:val="28"/>
                <w:highlight w:val="none"/>
              </w:rPr>
              <w:t>（其中20m</w:t>
            </w:r>
            <w:r>
              <w:rPr>
                <w:rFonts w:ascii="Arial" w:hAnsi="Arial" w:cs="Arial"/>
                <w:color w:val="000000"/>
                <w:szCs w:val="28"/>
                <w:highlight w:val="none"/>
                <w:vertAlign w:val="superscript"/>
              </w:rPr>
              <w:t>3</w:t>
            </w:r>
            <w:r>
              <w:rPr>
                <w:rFonts w:ascii="Arial" w:hAnsi="Arial" w:cs="Arial"/>
                <w:color w:val="000000"/>
                <w:szCs w:val="28"/>
                <w:highlight w:val="none"/>
              </w:rPr>
              <w:t>92</w:t>
            </w:r>
            <w:r>
              <w:rPr>
                <w:rFonts w:ascii="Arial" w:hAnsi="Arial" w:cs="Arial"/>
                <w:color w:val="000000"/>
                <w:szCs w:val="28"/>
                <w:highlight w:val="none"/>
                <w:vertAlign w:val="superscript"/>
              </w:rPr>
              <w:t>#</w:t>
            </w:r>
            <w:r>
              <w:rPr>
                <w:rFonts w:ascii="Arial" w:hAnsi="Arial" w:cs="Arial"/>
                <w:color w:val="000000"/>
                <w:szCs w:val="28"/>
                <w:highlight w:val="none"/>
              </w:rPr>
              <w:t>汽油储罐1座、20m</w:t>
            </w:r>
            <w:r>
              <w:rPr>
                <w:rFonts w:ascii="Arial" w:hAnsi="Arial" w:cs="Arial"/>
                <w:color w:val="000000"/>
                <w:szCs w:val="28"/>
                <w:highlight w:val="none"/>
                <w:vertAlign w:val="superscript"/>
              </w:rPr>
              <w:t>3</w:t>
            </w:r>
            <w:r>
              <w:rPr>
                <w:rFonts w:ascii="Arial" w:hAnsi="Arial" w:cs="Arial"/>
                <w:color w:val="000000"/>
                <w:szCs w:val="28"/>
                <w:highlight w:val="none"/>
              </w:rPr>
              <w:t>95</w:t>
            </w:r>
            <w:r>
              <w:rPr>
                <w:rFonts w:ascii="Arial" w:hAnsi="Arial" w:cs="Arial"/>
                <w:color w:val="000000"/>
                <w:szCs w:val="28"/>
                <w:highlight w:val="none"/>
                <w:vertAlign w:val="superscript"/>
              </w:rPr>
              <w:t>#</w:t>
            </w:r>
            <w:r>
              <w:rPr>
                <w:rFonts w:ascii="Arial" w:hAnsi="Arial" w:cs="Arial"/>
                <w:color w:val="000000"/>
                <w:szCs w:val="28"/>
                <w:highlight w:val="none"/>
              </w:rPr>
              <w:t>汽油储罐1座、20m</w:t>
            </w:r>
            <w:r>
              <w:rPr>
                <w:rFonts w:ascii="Arial" w:hAnsi="Arial" w:cs="Arial"/>
                <w:color w:val="000000"/>
                <w:szCs w:val="28"/>
                <w:highlight w:val="none"/>
                <w:vertAlign w:val="superscript"/>
              </w:rPr>
              <w:t>3</w:t>
            </w:r>
            <w:r>
              <w:rPr>
                <w:rFonts w:ascii="Arial" w:hAnsi="Arial" w:cs="Arial"/>
                <w:color w:val="000000"/>
                <w:szCs w:val="28"/>
                <w:highlight w:val="none"/>
              </w:rPr>
              <w:t>柴油储罐1座，加油机3台，加油枪6把）</w:t>
            </w:r>
            <w:r>
              <w:rPr>
                <w:rFonts w:ascii="Arial" w:hAnsi="Arial" w:cs="Arial"/>
                <w:highlight w:val="none"/>
              </w:rPr>
              <w:t>，</w:t>
            </w:r>
            <w:r>
              <w:rPr>
                <w:rFonts w:ascii="Arial" w:hAnsi="Arial" w:cs="Arial"/>
                <w:kern w:val="0"/>
                <w:szCs w:val="28"/>
                <w:highlight w:val="none"/>
              </w:rPr>
              <w:t>属于</w:t>
            </w:r>
            <w:r>
              <w:rPr>
                <w:rFonts w:ascii="Arial" w:hAnsi="Arial" w:cs="Arial"/>
                <w:szCs w:val="28"/>
                <w:highlight w:val="none"/>
              </w:rPr>
              <w:t>三级</w:t>
            </w:r>
            <w:r>
              <w:rPr>
                <w:rFonts w:ascii="Arial" w:hAnsi="Arial" w:cs="Arial"/>
                <w:kern w:val="0"/>
                <w:szCs w:val="28"/>
                <w:highlight w:val="none"/>
              </w:rPr>
              <w:t>加油站。</w:t>
            </w:r>
          </w:p>
          <w:p>
            <w:pPr>
              <w:spacing w:line="240" w:lineRule="auto"/>
              <w:rPr>
                <w:rFonts w:hint="eastAsia"/>
                <w:lang w:eastAsia="zh-CN"/>
              </w:rPr>
            </w:pPr>
            <w:r>
              <w:drawing>
                <wp:inline distT="0" distB="0" distL="114300" distR="114300">
                  <wp:extent cx="4133850" cy="5505450"/>
                  <wp:effectExtent l="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4"/>
                          <a:stretch>
                            <a:fillRect/>
                          </a:stretch>
                        </pic:blipFill>
                        <pic:spPr>
                          <a:xfrm>
                            <a:off x="0" y="0"/>
                            <a:ext cx="4133850" cy="55054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szCs w:val="21"/>
              </w:rPr>
              <w:t>现场开展工作情况</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rPr>
              <w:t>勘验人员</w:t>
            </w:r>
          </w:p>
        </w:tc>
        <w:tc>
          <w:tcPr>
            <w:tcW w:w="2623"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rPr>
            </w:pPr>
            <w:r>
              <w:rPr>
                <w:rFonts w:hint="eastAsia" w:ascii="宋体" w:hAnsi="宋体" w:cs="宋体"/>
                <w:color w:val="auto"/>
                <w:kern w:val="0"/>
                <w:sz w:val="21"/>
                <w:szCs w:val="21"/>
                <w:lang w:val="en-US" w:eastAsia="zh-CN" w:bidi="ar-SA"/>
              </w:rPr>
              <w:t>/</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cs="Times New Roman"/>
                <w:szCs w:val="21"/>
                <w:lang w:val="en-US" w:eastAsia="zh-CN"/>
              </w:rPr>
              <w:t>李伟</w:t>
            </w:r>
          </w:p>
        </w:tc>
        <w:tc>
          <w:tcPr>
            <w:tcW w:w="2623" w:type="dxa"/>
            <w:gridSpan w:val="4"/>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b/>
              </w:rPr>
            </w:pPr>
            <w:r>
              <w:rPr>
                <w:rFonts w:hint="eastAsia" w:ascii="宋体" w:hAnsi="宋体" w:eastAsia="宋体" w:cs="宋体"/>
                <w:kern w:val="0"/>
                <w:sz w:val="21"/>
                <w:szCs w:val="21"/>
                <w:lang w:val="en-US" w:eastAsia="zh-CN" w:bidi="ar-SA"/>
              </w:rPr>
              <w:t>1800000000201223</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cs="Times New Roman"/>
                <w:szCs w:val="21"/>
                <w:lang w:val="en-US" w:eastAsia="zh-CN"/>
              </w:rPr>
              <w:t>高创波</w:t>
            </w:r>
          </w:p>
        </w:tc>
        <w:tc>
          <w:tcPr>
            <w:tcW w:w="2623" w:type="dxa"/>
            <w:gridSpan w:val="4"/>
            <w:tcBorders>
              <w:left w:val="single" w:color="auto" w:sz="4" w:space="0"/>
              <w:right w:val="single" w:color="auto" w:sz="4" w:space="0"/>
            </w:tcBorders>
            <w:noWrap w:val="0"/>
            <w:vAlign w:val="center"/>
          </w:tcPr>
          <w:p>
            <w:pPr>
              <w:widowControl/>
              <w:jc w:val="center"/>
              <w:rPr>
                <w:rFonts w:hint="eastAsia" w:ascii="仿宋" w:hAnsi="仿宋" w:eastAsia="仿宋"/>
              </w:rPr>
            </w:pPr>
            <w:r>
              <w:rPr>
                <w:rFonts w:hint="eastAsia" w:ascii="宋体" w:hAnsi="宋体" w:eastAsia="宋体" w:cs="宋体"/>
                <w:kern w:val="0"/>
                <w:sz w:val="21"/>
                <w:szCs w:val="21"/>
                <w:lang w:val="en-US" w:eastAsia="zh-CN" w:bidi="ar-SA"/>
              </w:rPr>
              <w:t>55210270139</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left"/>
              <w:rPr>
                <w:rFonts w:hint="eastAsia"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2623" w:type="dxa"/>
            <w:gridSpan w:val="4"/>
            <w:tcBorders>
              <w:left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center"/>
              <w:rPr>
                <w:rFonts w:hint="eastAsia" w:ascii="仿宋" w:hAnsi="仿宋" w:eastAsia="仿宋"/>
                <w:b/>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4F4E90"/>
    <w:rsid w:val="016E4CC5"/>
    <w:rsid w:val="107B5E63"/>
    <w:rsid w:val="114F4E90"/>
    <w:rsid w:val="3AC97B83"/>
    <w:rsid w:val="7B905293"/>
    <w:rsid w:val="7DD864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annotation text"/>
    <w:basedOn w:val="1"/>
    <w:semiHidden/>
    <w:qFormat/>
    <w:uiPriority w:val="0"/>
    <w:pPr>
      <w:jc w:val="left"/>
    </w:pPr>
  </w:style>
  <w:style w:type="character" w:customStyle="1" w:styleId="6">
    <w:name w:val="正文cmb Char"/>
    <w:link w:val="7"/>
    <w:qFormat/>
    <w:uiPriority w:val="0"/>
    <w:rPr>
      <w:rFonts w:ascii="Arial" w:hAnsi="Arial"/>
      <w:color w:val="000000"/>
      <w:kern w:val="0"/>
      <w:sz w:val="28"/>
    </w:rPr>
  </w:style>
  <w:style w:type="paragraph" w:customStyle="1" w:styleId="7">
    <w:name w:val="正文cmb"/>
    <w:basedOn w:val="1"/>
    <w:link w:val="6"/>
    <w:qFormat/>
    <w:uiPriority w:val="0"/>
    <w:pPr>
      <w:adjustRightInd w:val="0"/>
      <w:snapToGrid w:val="0"/>
      <w:spacing w:line="360" w:lineRule="auto"/>
      <w:ind w:firstLine="560" w:firstLineChars="200"/>
    </w:pPr>
    <w:rPr>
      <w:rFonts w:ascii="Arial" w:hAnsi="Arial"/>
      <w:color w:val="000000"/>
      <w:kern w:val="0"/>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2025-05-23T01:37:00Z</dcterms:created>
  <dc:creator>雷楠</dc:creator>
  <cp:lastModifiedBy>雷楠</cp:lastModifiedBy>
  <dcterms:modified xsi:type="dcterms:W3CDTF">2025-05-27T02:49:30Z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