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12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  <w:gridCol w:w="2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中电建重庆建设发展有限公司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中电建重庆建设发展有限公司建筑石料用灰岩矿生产加工系统（改扩建）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9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9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4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586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661" w:type="dxa"/>
            <w:gridSpan w:val="5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ascii="仿宋" w:hAnsi="仿宋" w:eastAsia="仿宋" w:cs="Times New Roman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中电建重庆建设发展有限公司建筑石料用灰岩矿生产加工系统（改扩建）安全预评价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改扩建（一期改建内容：一期已建临时成品堆场和机制砂筒仓调整为储存二期产线生产的Ⅰ类碎石和机制砂；二期扩建的洗石车间利用一期1#、2#转运站改建；扩建内容：结合一期已建生产线，二期生产加工系统主要有粗碎车间、半成品堆场、筛分及细碎车间、洗石车间、制砂车间、Ⅱ类骨料储存及发运中心（新建）、Ⅰ类骨料储存及发运中心（原临时储存和发运中心）等单元组成）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162175" cy="15906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17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 w:cs="宋体"/>
                <w:color w:val="auto"/>
                <w:szCs w:val="21"/>
              </w:rPr>
            </w:pPr>
          </w:p>
        </w:tc>
        <w:tc>
          <w:tcPr>
            <w:tcW w:w="2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00201291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2025.6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  建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val="en-US" w:eastAsia="zh-CN"/>
              </w:rPr>
              <w:t>2025.6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50" w:type="dxa"/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pPr>
        <w:pStyle w:val="3"/>
        <w:rPr>
          <w:rFonts w:hint="eastAsia" w:ascii="仿宋" w:hAnsi="仿宋" w:eastAsia="仿宋" w:cs="宋体"/>
          <w:color w:val="auto"/>
          <w:szCs w:val="21"/>
        </w:rPr>
      </w:pPr>
    </w:p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A4712"/>
    <w:rsid w:val="3D9A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8"/>
      <w:szCs w:val="28"/>
      <w:lang w:val="zh-CN" w:eastAsia="zh-CN" w:bidi="zh-CN"/>
    </w:rPr>
  </w:style>
  <w:style w:type="paragraph" w:styleId="3">
    <w:name w:val="Body Text Indent"/>
    <w:basedOn w:val="1"/>
    <w:next w:val="2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2025-07-01T02:55:00Z</dcterms:created>
  <dc:creator>雷楠</dc:creator>
  <cp:lastModifiedBy>雷楠</cp:lastModifiedBy>
  <dcterms:modified xsi:type="dcterms:W3CDTF">2025-07-01T02:56:32Z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