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ascii="Arial" w:hAnsi="宋体" w:cs="Arial"/>
                <w:color w:val="000000"/>
              </w:rPr>
              <w:t>重庆港务物流集团有限公司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adjustRightInd w:val="0"/>
              <w:snapToGrid w:val="0"/>
              <w:jc w:val="center"/>
              <w:rPr>
                <w:rFonts w:ascii="仿宋" w:hAnsi="仿宋" w:eastAsia="仿宋"/>
                <w:szCs w:val="21"/>
              </w:rPr>
            </w:pPr>
            <w:r>
              <w:rPr>
                <w:rFonts w:hint="eastAsia" w:ascii="宋体" w:hAnsi="宋体" w:eastAsia="宋体" w:cs="宋体"/>
                <w:i w:val="0"/>
                <w:iCs w:val="0"/>
                <w:kern w:val="2"/>
                <w:sz w:val="21"/>
                <w:szCs w:val="21"/>
                <w:lang w:val="en-US" w:eastAsia="zh-CN" w:bidi="ar-SA"/>
              </w:rPr>
              <w:t>重庆港务物流集团有限公司重庆果园港口岸开放综合查验设施项目安全预评价报告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港口码头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073"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2020.8</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吴子科</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023846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罗刚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消防</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035523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刘文娟</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电气；仪表自动化</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019235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AG00218278</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王静</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018674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黄安勇</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化工</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035592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蔡治勇</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eastAsia="仿宋_GB2312" w:cs="仿宋_GB2312"/>
                <w:kern w:val="0"/>
                <w:sz w:val="24"/>
                <w:szCs w:val="24"/>
              </w:rPr>
              <w:t>热能与动力；火工</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003832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0074134</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0177668</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lang w:eastAsia="zh-CN"/>
              </w:rPr>
              <w:t>刘国勇</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 w:val="24"/>
              </w:rPr>
              <w:t>化工工艺</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55060013805</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p>
        </w:tc>
        <w:tc>
          <w:tcPr>
            <w:tcW w:w="1586" w:type="dxa"/>
            <w:gridSpan w:val="2"/>
            <w:vAlign w:val="center"/>
          </w:tcPr>
          <w:p>
            <w:pPr>
              <w:widowControl/>
              <w:adjustRightInd w:val="0"/>
              <w:snapToGrid w:val="0"/>
              <w:jc w:val="center"/>
              <w:rPr>
                <w:rFonts w:ascii="仿宋" w:hAnsi="仿宋" w:eastAsia="仿宋" w:cs="宋体"/>
                <w:kern w:val="0"/>
                <w:szCs w:val="21"/>
              </w:rPr>
            </w:pPr>
          </w:p>
        </w:tc>
        <w:tc>
          <w:tcPr>
            <w:tcW w:w="2661" w:type="dxa"/>
            <w:gridSpan w:val="5"/>
            <w:vAlign w:val="center"/>
          </w:tcPr>
          <w:p>
            <w:pPr>
              <w:widowControl/>
              <w:adjustRightInd w:val="0"/>
              <w:snapToGrid w:val="0"/>
              <w:jc w:val="center"/>
              <w:rPr>
                <w:rFonts w:ascii="仿宋" w:hAnsi="仿宋" w:eastAsia="仿宋" w:cs="宋体"/>
                <w:kern w:val="0"/>
                <w:szCs w:val="21"/>
              </w:rPr>
            </w:pP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ind w:firstLine="420" w:firstLineChars="200"/>
            </w:pPr>
          </w:p>
          <w:p>
            <w:pPr>
              <w:adjustRightInd w:val="0"/>
              <w:snapToGrid w:val="0"/>
              <w:ind w:firstLine="420" w:firstLineChars="200"/>
            </w:pPr>
            <w:r>
              <w:t>拟建项目主要为建筑工程和围网工程，项目总规划用地81892.13m2，总建筑面积约43069.10m2，项目总投资39710.86万元，建设内容为：1#口岸大楼及卡口、2#综合查验库、3#冷链查验库、4#现场办公楼、5#热处理室、6#熏蒸库、7#先期机检设备用房、8# H986设备用房、G-1检疫处理平台、G-2化药池、围网、堆场及停车场、配套内部道路及附属管网工程（包含水、电、气等公用设施）、配套监控设备及信息化系统设计、设备安装及调试、办公楼精装修等。</w:t>
            </w:r>
          </w:p>
          <w:p>
            <w:pPr>
              <w:adjustRightInd w:val="0"/>
              <w:snapToGrid w:val="0"/>
              <w:ind w:firstLine="420" w:firstLineChars="200"/>
              <w:rPr>
                <w:rFonts w:hint="eastAsia" w:eastAsia="宋体"/>
                <w:lang w:eastAsia="zh-CN"/>
              </w:rPr>
            </w:pPr>
            <w:r>
              <w:rPr>
                <w:rFonts w:hint="eastAsia" w:eastAsia="宋体"/>
                <w:lang w:eastAsia="zh-CN"/>
              </w:rPr>
              <w:drawing>
                <wp:inline distT="0" distB="0" distL="114300" distR="114300">
                  <wp:extent cx="5296535" cy="3961765"/>
                  <wp:effectExtent l="0" t="0" r="18415" b="635"/>
                  <wp:docPr id="1" name="图片 1" descr="IMG_20200609_152318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609_152318_c"/>
                          <pic:cNvPicPr>
                            <a:picLocks noChangeAspect="1"/>
                          </pic:cNvPicPr>
                        </pic:nvPicPr>
                        <pic:blipFill>
                          <a:blip r:embed="rId4"/>
                          <a:stretch>
                            <a:fillRect/>
                          </a:stretch>
                        </pic:blipFill>
                        <pic:spPr>
                          <a:xfrm>
                            <a:off x="0" y="0"/>
                            <a:ext cx="5296535" cy="3961765"/>
                          </a:xfrm>
                          <a:prstGeom prst="rect">
                            <a:avLst/>
                          </a:prstGeom>
                        </pic:spPr>
                      </pic:pic>
                    </a:graphicData>
                  </a:graphic>
                </wp:inline>
              </w:drawing>
            </w:r>
          </w:p>
          <w:p>
            <w:pPr>
              <w:adjustRightInd w:val="0"/>
              <w:snapToGrid w:val="0"/>
              <w:ind w:firstLine="420" w:firstLineChars="200"/>
            </w:pPr>
          </w:p>
          <w:p>
            <w:pPr>
              <w:adjustRightInd w:val="0"/>
              <w:snapToGrid w:val="0"/>
              <w:ind w:firstLine="420" w:firstLineChars="200"/>
            </w:pPr>
          </w:p>
          <w:p>
            <w:pPr>
              <w:adjustRightInd w:val="0"/>
              <w:snapToGrid w:val="0"/>
              <w:ind w:firstLine="42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吴子科、罗刚</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6.9</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3138" w:type="dxa"/>
            <w:gridSpan w:val="5"/>
            <w:vAlign w:val="center"/>
          </w:tcPr>
          <w:p>
            <w:pPr>
              <w:spacing w:line="520" w:lineRule="exact"/>
              <w:ind w:firstLine="560"/>
              <w:rPr>
                <w:rFonts w:ascii="仿宋" w:hAnsi="仿宋" w:eastAsia="仿宋"/>
                <w:szCs w:val="21"/>
              </w:rPr>
            </w:pPr>
            <w:r>
              <w:rPr>
                <w:rFonts w:hint="eastAsia" w:ascii="仿宋" w:hAnsi="仿宋" w:eastAsia="仿宋"/>
                <w:szCs w:val="21"/>
              </w:rPr>
              <w:t>场地平整、无滑坡等地质问题</w:t>
            </w:r>
            <w:r>
              <w:rPr>
                <w:rFonts w:ascii="仿宋" w:hAnsi="仿宋" w:eastAsia="仿宋"/>
                <w:szCs w:val="21"/>
              </w:rPr>
              <w:t>。</w:t>
            </w:r>
          </w:p>
          <w:p>
            <w:pPr>
              <w:spacing w:line="520" w:lineRule="exact"/>
              <w:ind w:firstLine="560"/>
              <w:rPr>
                <w:rFonts w:ascii="仿宋" w:hAnsi="仿宋" w:eastAsia="仿宋"/>
                <w:szCs w:val="21"/>
              </w:rPr>
            </w:pPr>
            <w:r>
              <w:rPr>
                <w:rFonts w:hint="eastAsia" w:ascii="仿宋" w:hAnsi="仿宋" w:eastAsia="仿宋"/>
                <w:szCs w:val="21"/>
              </w:rPr>
              <w:t>周边无</w:t>
            </w:r>
            <w:r>
              <w:rPr>
                <w:rFonts w:ascii="仿宋" w:hAnsi="仿宋" w:eastAsia="仿宋"/>
                <w:szCs w:val="21"/>
              </w:rPr>
              <w:t>周边无危险性生产企业，而且与其他已建工程防火间距符合要求，</w:t>
            </w:r>
          </w:p>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4B53DE"/>
    <w:rsid w:val="7F4B5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2020-09-07T08:31:00Z</dcterms:created>
  <dc:creator>Neuropathy.</dc:creator>
  <cp:lastModifiedBy>Neuropathy.</cp:lastModifiedBy>
  <dcterms:modified xsi:type="dcterms:W3CDTF">2020-09-07T08:31:55Z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