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"/>
        <w:gridCol w:w="1134"/>
        <w:gridCol w:w="14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重庆川维物流有限公司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重庆川维物流有限公司危险化学品仓储经营安全现状评价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</w:t>
            </w:r>
            <w:r>
              <w:rPr>
                <w:rFonts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危险化学品储存经营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吴子科、高胡容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2020.7.9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水工结构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1500000000100173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电气、自动化（仪表）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S011053000110191001147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S011053000110192002940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fldChar w:fldCharType="begin"/>
            </w:r>
            <w:r>
              <w:rPr>
                <w:rFonts w:ascii="仿宋" w:hAnsi="仿宋" w:eastAsia="仿宋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szCs w:val="21"/>
              </w:rPr>
              <w:t>冯 皓</w:t>
            </w:r>
            <w:r>
              <w:rPr>
                <w:rFonts w:ascii="仿宋" w:hAnsi="仿宋" w:eastAsia="仿宋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重庆川维物流有限公司的危险化学品经营环节，主要涉及该单位所属的储存场所（铁路罐区、港务罐区、化工库房）、安全管理、从业人员资格、化工库房和液体罐区，储存场所（铁路罐区、港务罐区、化工库房）的周边安全环境和安全设施。不包括危险货物的运输、港口经营和危险货物港口相关作业、港务罐区内属于扬子江乙酰化工有限公司的储罐、地址在九龙坡区西彭镇的川维物流公司所属储运分公司（按照地方政府要求，该部分单独评价并报备当地政府部门）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56530" cy="2956560"/>
                  <wp:effectExtent l="0" t="0" r="1270" b="15240"/>
                  <wp:docPr id="1" name="图片 1" descr="IMG_20200509_093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09_0930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6530" cy="2956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2020.5.7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签订合同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吴子科、高胡容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2020.5.9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编制报告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装车场进口部分地坪存在裂缝。仓库内无最大储存量标识。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D7080"/>
    <w:rsid w:val="2FFD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2020-09-07T07:50:00Z</dcterms:created>
  <dc:creator>Neuropathy.</dc:creator>
  <cp:lastModifiedBy>Neuropathy.</cp:lastModifiedBy>
  <dcterms:modified xsi:type="dcterms:W3CDTF">2020-09-07T07:50:19Z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