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jc w:val="center"/>
              <w:rPr>
                <w:rFonts w:ascii="仿宋" w:hAnsi="仿宋" w:eastAsia="仿宋"/>
                <w:szCs w:val="21"/>
              </w:rPr>
            </w:pPr>
            <w:r>
              <w:rPr>
                <w:rFonts w:hint="eastAsia" w:ascii="仿宋" w:hAnsi="仿宋" w:eastAsia="仿宋"/>
                <w:szCs w:val="21"/>
              </w:rPr>
              <w:t>重庆市南川区新城开发建设有限公司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jc w:val="center"/>
              <w:rPr>
                <w:rFonts w:hint="eastAsia" w:ascii="仿宋" w:hAnsi="仿宋" w:eastAsia="仿宋"/>
                <w:bCs/>
                <w:szCs w:val="21"/>
              </w:rPr>
            </w:pPr>
            <w:r>
              <w:rPr>
                <w:rFonts w:hint="eastAsia" w:ascii="仿宋" w:hAnsi="仿宋" w:eastAsia="仿宋"/>
                <w:bCs/>
                <w:szCs w:val="21"/>
              </w:rPr>
              <w:t>南川区凤嘴江滨江地区高架桥北侧部分地块金山二路涉及重庆气矿綦南线天然气管道</w:t>
            </w:r>
          </w:p>
          <w:p>
            <w:pPr>
              <w:jc w:val="center"/>
              <w:rPr>
                <w:rFonts w:ascii="仿宋" w:hAnsi="仿宋" w:eastAsia="仿宋"/>
                <w:bCs/>
                <w:szCs w:val="21"/>
              </w:rPr>
            </w:pPr>
            <w:r>
              <w:rPr>
                <w:rFonts w:hint="eastAsia" w:ascii="仿宋" w:hAnsi="仿宋" w:eastAsia="仿宋"/>
                <w:bCs/>
                <w:szCs w:val="21"/>
              </w:rPr>
              <w:t>迁改工程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sym w:font="CommercialPi BT" w:char="F029"/>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jc w:val="center"/>
              <w:rPr>
                <w:rFonts w:ascii="仿宋" w:hAnsi="仿宋" w:eastAsia="仿宋"/>
                <w:b/>
                <w:szCs w:val="21"/>
              </w:rPr>
            </w:pPr>
          </w:p>
        </w:tc>
        <w:tc>
          <w:tcPr>
            <w:tcW w:w="2987" w:type="dxa"/>
            <w:gridSpan w:val="4"/>
            <w:noWrap w:val="0"/>
            <w:vAlign w:val="center"/>
          </w:tcPr>
          <w:p>
            <w:pPr>
              <w:jc w:val="center"/>
              <w:rPr>
                <w:rFonts w:ascii="仿宋" w:hAnsi="仿宋" w:eastAsia="仿宋"/>
                <w:szCs w:val="21"/>
              </w:rPr>
            </w:pPr>
            <w:r>
              <w:rPr>
                <w:rFonts w:hint="eastAsia" w:ascii="仿宋" w:hAnsi="仿宋" w:eastAsia="仿宋"/>
                <w:szCs w:val="21"/>
              </w:rPr>
              <w:t>包鹏</w:t>
            </w:r>
          </w:p>
        </w:tc>
        <w:tc>
          <w:tcPr>
            <w:tcW w:w="2710" w:type="dxa"/>
            <w:gridSpan w:val="6"/>
            <w:noWrap w:val="0"/>
            <w:vAlign w:val="center"/>
          </w:tcPr>
          <w:p>
            <w:pPr>
              <w:jc w:val="center"/>
              <w:rPr>
                <w:rFonts w:ascii="仿宋" w:hAnsi="仿宋" w:eastAsia="仿宋"/>
                <w:szCs w:val="21"/>
              </w:rPr>
            </w:pPr>
            <w:r>
              <w:rPr>
                <w:rFonts w:hint="eastAsia" w:ascii="仿宋" w:hAnsi="仿宋" w:eastAsia="仿宋"/>
                <w:szCs w:val="21"/>
              </w:rPr>
              <w:t>陈美宝</w:t>
            </w:r>
          </w:p>
        </w:tc>
        <w:tc>
          <w:tcPr>
            <w:tcW w:w="2875" w:type="dxa"/>
            <w:gridSpan w:val="3"/>
            <w:noWrap w:val="0"/>
            <w:vAlign w:val="center"/>
          </w:tcPr>
          <w:p>
            <w:pPr>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jc w:val="center"/>
              <w:rPr>
                <w:rFonts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jc w:val="center"/>
              <w:rPr>
                <w:rFonts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jc w:val="center"/>
              <w:rPr>
                <w:rFonts w:ascii="仿宋" w:hAnsi="仿宋" w:eastAsia="仿宋"/>
                <w:b/>
                <w:szCs w:val="21"/>
              </w:rPr>
            </w:pPr>
          </w:p>
        </w:tc>
        <w:tc>
          <w:tcPr>
            <w:tcW w:w="2174" w:type="dxa"/>
            <w:gridSpan w:val="3"/>
            <w:noWrap w:val="0"/>
            <w:vAlign w:val="center"/>
          </w:tcPr>
          <w:p>
            <w:pPr>
              <w:jc w:val="center"/>
              <w:rPr>
                <w:rFonts w:ascii="仿宋" w:hAnsi="仿宋" w:eastAsia="仿宋"/>
                <w:szCs w:val="21"/>
              </w:rPr>
            </w:pPr>
            <w:r>
              <w:rPr>
                <w:rFonts w:hint="eastAsia" w:ascii="仿宋" w:hAnsi="仿宋" w:eastAsia="仿宋"/>
                <w:szCs w:val="21"/>
              </w:rPr>
              <w:t>闫云光</w:t>
            </w:r>
          </w:p>
        </w:tc>
        <w:tc>
          <w:tcPr>
            <w:tcW w:w="2073" w:type="dxa"/>
            <w:gridSpan w:val="4"/>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2020.3</w:t>
            </w:r>
          </w:p>
        </w:tc>
        <w:tc>
          <w:tcPr>
            <w:tcW w:w="2169" w:type="dxa"/>
            <w:gridSpan w:val="4"/>
            <w:noWrap w:val="0"/>
            <w:vAlign w:val="center"/>
          </w:tcPr>
          <w:p>
            <w:pPr>
              <w:jc w:val="center"/>
              <w:rPr>
                <w:rFonts w:ascii="仿宋" w:hAnsi="仿宋" w:eastAsia="仿宋"/>
                <w:szCs w:val="21"/>
              </w:rPr>
            </w:pPr>
            <w:r>
              <w:rPr>
                <w:rFonts w:hint="eastAsia" w:ascii="仿宋" w:hAnsi="仿宋" w:eastAsia="仿宋"/>
                <w:szCs w:val="21"/>
              </w:rPr>
              <w:t>蔡治勇</w:t>
            </w:r>
          </w:p>
        </w:tc>
        <w:tc>
          <w:tcPr>
            <w:tcW w:w="2156" w:type="dxa"/>
            <w:gridSpan w:val="2"/>
            <w:noWrap w:val="0"/>
            <w:vAlign w:val="center"/>
          </w:tcPr>
          <w:p>
            <w:pPr>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包鹏</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  气</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S011021000110191000318</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0126896</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闫云光</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采  矿</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top"/>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雷  楠</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S011053000110193002251</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top"/>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易安柯</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S011053000110193002441</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top"/>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刘文娟</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自动化(仪表)</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AG00218278</w:t>
            </w:r>
          </w:p>
        </w:tc>
        <w:tc>
          <w:tcPr>
            <w:tcW w:w="1663" w:type="dxa"/>
            <w:noWrap w:val="0"/>
            <w:vAlign w:val="top"/>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陈美宝</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1500000000100116</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0100948</w:t>
            </w:r>
          </w:p>
        </w:tc>
        <w:tc>
          <w:tcPr>
            <w:tcW w:w="1663" w:type="dxa"/>
            <w:noWrap w:val="0"/>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包正清</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电子技术</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1600000000201285</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0100596</w:t>
            </w:r>
          </w:p>
        </w:tc>
        <w:tc>
          <w:tcPr>
            <w:tcW w:w="1663" w:type="dxa"/>
            <w:noWrap w:val="0"/>
            <w:vAlign w:val="center"/>
          </w:tcPr>
          <w:p>
            <w:pPr>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安  全</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0800000000102949</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0074134</w:t>
            </w:r>
          </w:p>
        </w:tc>
        <w:tc>
          <w:tcPr>
            <w:tcW w:w="1663" w:type="dxa"/>
            <w:noWrap w:val="0"/>
            <w:vAlign w:val="center"/>
          </w:tcPr>
          <w:p>
            <w:pPr>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ind w:firstLine="420" w:firstLineChars="200"/>
              <w:rPr>
                <w:rFonts w:ascii="仿宋" w:hAnsi="仿宋" w:eastAsia="仿宋" w:cs="宋体"/>
                <w:szCs w:val="21"/>
              </w:rPr>
            </w:pPr>
          </w:p>
          <w:p>
            <w:pPr>
              <w:ind w:firstLine="390"/>
              <w:rPr>
                <w:rFonts w:hint="eastAsia" w:ascii="仿宋" w:hAnsi="仿宋" w:eastAsia="仿宋"/>
                <w:szCs w:val="21"/>
              </w:rPr>
            </w:pPr>
            <w:r>
              <w:rPr>
                <w:rFonts w:hint="eastAsia" w:ascii="仿宋" w:hAnsi="仿宋" w:eastAsia="仿宋"/>
                <w:szCs w:val="21"/>
              </w:rPr>
              <w:t>重庆气矿綦南线（石庆湾至沈家湾段，距离南川配气站</w:t>
            </w:r>
            <w:r>
              <w:rPr>
                <w:rFonts w:ascii="仿宋" w:hAnsi="仿宋" w:eastAsia="仿宋"/>
                <w:szCs w:val="21"/>
              </w:rPr>
              <w:t>1km</w:t>
            </w:r>
            <w:r>
              <w:rPr>
                <w:rFonts w:hint="eastAsia" w:ascii="仿宋" w:hAnsi="仿宋" w:eastAsia="仿宋"/>
                <w:szCs w:val="21"/>
              </w:rPr>
              <w:t>范围内）位于长远高架桥片区储备地块内，因管道填埋较浅，正在实施的土石方工程开挖作业等对管道正常运行造成了很大的影响，存在极大的安全隐患，且南川区正在该地块实施金山二路（市政道路）的建设，在金山二路里程</w:t>
            </w:r>
            <w:r>
              <w:rPr>
                <w:rFonts w:ascii="仿宋" w:hAnsi="仿宋" w:eastAsia="仿宋"/>
                <w:szCs w:val="21"/>
              </w:rPr>
              <w:t>0+720</w:t>
            </w:r>
            <w:r>
              <w:rPr>
                <w:rFonts w:hint="eastAsia" w:ascii="仿宋" w:hAnsi="仿宋" w:eastAsia="仿宋"/>
                <w:szCs w:val="21"/>
              </w:rPr>
              <w:t>处（沈家湾段）与现状綦南线（距南川配气站</w:t>
            </w:r>
            <w:r>
              <w:rPr>
                <w:rFonts w:ascii="仿宋" w:hAnsi="仿宋" w:eastAsia="仿宋"/>
                <w:szCs w:val="21"/>
              </w:rPr>
              <w:t>350m</w:t>
            </w:r>
            <w:r>
              <w:rPr>
                <w:rFonts w:hint="eastAsia" w:ascii="仿宋" w:hAnsi="仿宋" w:eastAsia="仿宋"/>
                <w:szCs w:val="21"/>
              </w:rPr>
              <w:t>左右）有交叉，交叉区域属于挖方区，对既有綦南线管道造成安全威胁。为配合地方城市建设，保障供气稳定性和可靠性。拟对位于长远高架桥片区储备地块内的綦南线天然气管道进行迁改。</w:t>
            </w:r>
          </w:p>
          <w:p>
            <w:pPr>
              <w:adjustRightInd w:val="0"/>
              <w:snapToGrid w:val="0"/>
              <w:ind w:firstLine="420" w:firstLineChars="200"/>
              <w:rPr>
                <w:rFonts w:hint="eastAsia" w:ascii="仿宋" w:hAnsi="仿宋" w:eastAsia="仿宋"/>
                <w:szCs w:val="21"/>
              </w:rPr>
            </w:pPr>
            <w:r>
              <w:rPr>
                <w:rFonts w:ascii="仿宋" w:hAnsi="仿宋" w:eastAsia="仿宋"/>
                <w:szCs w:val="21"/>
              </w:rPr>
              <w:t>为贯彻“安全第一、预防为主、综合治理”方针，为建设项目提供科学依据，利于建设项目本质安全，依据《中华人民共和国安全生产法》等有关规定，重庆市安全生产科学研究有限公司受</w:t>
            </w:r>
            <w:r>
              <w:rPr>
                <w:rFonts w:hint="eastAsia" w:ascii="仿宋" w:hAnsi="仿宋" w:eastAsia="仿宋"/>
                <w:bCs/>
                <w:szCs w:val="21"/>
              </w:rPr>
              <w:t>重庆市南川区新城开发建设有限公司</w:t>
            </w:r>
            <w:r>
              <w:rPr>
                <w:rFonts w:ascii="仿宋" w:hAnsi="仿宋" w:eastAsia="仿宋"/>
                <w:szCs w:val="21"/>
              </w:rPr>
              <w:t>的委托，对</w:t>
            </w:r>
            <w:r>
              <w:rPr>
                <w:rFonts w:hint="eastAsia" w:ascii="仿宋" w:hAnsi="仿宋" w:eastAsia="仿宋"/>
                <w:szCs w:val="21"/>
              </w:rPr>
              <w:t>南川区凤嘴江滨江地区高架桥北侧部分地块金山二路涉及重庆气矿綦南线天然气管道迁改工程进行安全评价。</w:t>
            </w:r>
          </w:p>
          <w:p>
            <w:pPr>
              <w:pStyle w:val="2"/>
              <w:ind w:left="0" w:leftChars="0" w:firstLine="0" w:firstLineChars="0"/>
              <w:rPr>
                <w:rFonts w:hint="eastAsia" w:eastAsia="仿宋"/>
                <w:lang w:eastAsia="zh-CN"/>
              </w:rPr>
            </w:pPr>
            <w:r>
              <w:drawing>
                <wp:inline distT="0" distB="0" distL="114300" distR="114300">
                  <wp:extent cx="4276725" cy="31718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76725" cy="3171825"/>
                          </a:xfrm>
                          <a:prstGeom prst="rect">
                            <a:avLst/>
                          </a:prstGeom>
                          <a:noFill/>
                          <a:ln>
                            <a:noFill/>
                          </a:ln>
                        </pic:spPr>
                      </pic:pic>
                    </a:graphicData>
                  </a:graphic>
                </wp:inline>
              </w:drawing>
            </w:r>
            <w:bookmarkStart w:id="1" w:name="_GoBack"/>
            <w:bookmarkEnd w:id="1"/>
          </w:p>
          <w:p>
            <w:pPr>
              <w:adjustRightInd w:val="0"/>
              <w:snapToGrid w:val="0"/>
              <w:ind w:firstLine="420" w:firstLineChars="20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包鹏、闫云光</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20200109</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现场勘察</w:t>
            </w:r>
          </w:p>
        </w:tc>
        <w:tc>
          <w:tcPr>
            <w:tcW w:w="3138" w:type="dxa"/>
            <w:gridSpan w:val="5"/>
            <w:noWrap w:val="0"/>
            <w:vAlign w:val="center"/>
          </w:tcPr>
          <w:p>
            <w:pPr>
              <w:spacing w:line="300" w:lineRule="exact"/>
              <w:jc w:val="center"/>
              <w:rPr>
                <w:rFonts w:ascii="仿宋" w:hAnsi="仿宋" w:eastAsia="仿宋"/>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mmercialPi BT">
    <w:altName w:val="Wingdings 2"/>
    <w:panose1 w:val="05020102010206080802"/>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EB1273"/>
    <w:rsid w:val="0BEB1273"/>
    <w:rsid w:val="1F3231DB"/>
    <w:rsid w:val="220D4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2020-09-07T08:25:00Z</dcterms:created>
  <dc:creator>Neuropathy.</dc:creator>
  <cp:lastModifiedBy>Neuropathy.</cp:lastModifiedBy>
  <dcterms:modified xsi:type="dcterms:W3CDTF">2020-11-12T07:02:36Z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