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重庆港九股份有限公司江津港埠分公司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jc w:val="center"/>
              <w:rPr>
                <w:rFonts w:hint="eastAsia" w:ascii="仿宋" w:hAnsi="仿宋" w:eastAsia="仿宋"/>
                <w:bCs/>
                <w:szCs w:val="21"/>
                <w:lang w:eastAsia="zh-CN"/>
              </w:rPr>
            </w:pPr>
            <w:r>
              <w:rPr>
                <w:rFonts w:hint="eastAsia" w:ascii="仿宋" w:hAnsi="仿宋" w:eastAsia="仿宋"/>
                <w:bCs/>
                <w:szCs w:val="21"/>
                <w:lang w:eastAsia="zh-CN"/>
              </w:rPr>
              <w:t>重庆港九股份有限公司江津港埠分公司重庆港江津港区兰家沱作业区粮食码头技改工程安全验收评价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w:t>
            </w:r>
            <w:r>
              <w:rPr>
                <w:rFonts w:ascii="仿宋" w:hAnsi="仿宋" w:eastAsia="仿宋"/>
                <w:szCs w:val="21"/>
              </w:rPr>
              <w:sym w:font="Wingdings 2" w:char="0052"/>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港口码头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987"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923"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1319"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174"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吴子科、高胡容</w:t>
            </w:r>
          </w:p>
        </w:tc>
        <w:tc>
          <w:tcPr>
            <w:tcW w:w="292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9</w:t>
            </w:r>
          </w:p>
        </w:tc>
        <w:tc>
          <w:tcPr>
            <w:tcW w:w="1319"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351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1812"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吴子科</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水工结构</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1500000000100173</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李 伟</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机械、安全</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1800000000201223</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孟萌萌</w:t>
            </w:r>
          </w:p>
        </w:tc>
        <w:tc>
          <w:tcPr>
            <w:tcW w:w="1586" w:type="dxa"/>
            <w:gridSpan w:val="2"/>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电气</w:t>
            </w:r>
          </w:p>
        </w:tc>
        <w:tc>
          <w:tcPr>
            <w:tcW w:w="3511" w:type="dxa"/>
            <w:gridSpan w:val="5"/>
            <w:noWrap w:val="0"/>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1100000000301652</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林  波</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化工工艺</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S011053000110192002987</w:t>
            </w:r>
          </w:p>
        </w:tc>
        <w:tc>
          <w:tcPr>
            <w:tcW w:w="1812" w:type="dxa"/>
            <w:gridSpan w:val="5"/>
            <w:noWrap w:val="0"/>
            <w:vAlign w:val="center"/>
          </w:tcPr>
          <w:p>
            <w:pPr>
              <w:jc w:val="center"/>
              <w:rPr>
                <w:rFonts w:hint="eastAsia" w:ascii="仿宋" w:hAnsi="仿宋" w:eastAsia="仿宋"/>
                <w:szCs w:val="21"/>
              </w:rPr>
            </w:pPr>
            <w:r>
              <w:rPr>
                <w:rFonts w:hint="eastAsia" w:ascii="仿宋" w:hAnsi="仿宋" w:eastAsia="仿宋"/>
                <w:color w:val="000000"/>
                <w:szCs w:val="21"/>
                <w:lang w:val="en-US" w:eastAsia="zh-CN"/>
              </w:rPr>
              <w:t>55190209531</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唐波</w:t>
            </w:r>
          </w:p>
        </w:tc>
        <w:tc>
          <w:tcPr>
            <w:tcW w:w="1586" w:type="dxa"/>
            <w:gridSpan w:val="2"/>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机械、化工机械</w:t>
            </w:r>
          </w:p>
        </w:tc>
        <w:tc>
          <w:tcPr>
            <w:tcW w:w="3511" w:type="dxa"/>
            <w:gridSpan w:val="5"/>
            <w:noWrap w:val="0"/>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S011053000110192003004</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高胡容</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安全</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S011053000110192002940</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蔡治勇</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火炸药、安全</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0800000000102949</w:t>
            </w:r>
          </w:p>
        </w:tc>
        <w:tc>
          <w:tcPr>
            <w:tcW w:w="1812" w:type="dxa"/>
            <w:gridSpan w:val="5"/>
            <w:noWrap w:val="0"/>
            <w:vAlign w:val="center"/>
          </w:tcPr>
          <w:p>
            <w:pPr>
              <w:jc w:val="center"/>
              <w:rPr>
                <w:rFonts w:ascii="仿宋" w:hAnsi="仿宋" w:eastAsia="仿宋"/>
                <w:szCs w:val="21"/>
              </w:rPr>
            </w:pPr>
            <w:r>
              <w:rPr>
                <w:rFonts w:hint="eastAsia" w:ascii="仿宋" w:hAnsi="仿宋" w:eastAsia="仿宋"/>
                <w:color w:val="000000"/>
                <w:szCs w:val="21"/>
              </w:rPr>
              <w:t>55080052964</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ascii="仿宋" w:hAnsi="仿宋" w:eastAsia="仿宋"/>
                <w:szCs w:val="21"/>
              </w:rPr>
              <w:fldChar w:fldCharType="begin"/>
            </w:r>
            <w:r>
              <w:rPr>
                <w:rFonts w:ascii="仿宋" w:hAnsi="仿宋" w:eastAsia="仿宋"/>
                <w:szCs w:val="21"/>
              </w:rPr>
              <w:instrText xml:space="preserve">HYPERLINK "http://cydj.5anquan.com/UILogin/BeforeUserInfoShow/?id=622&amp;state=0" \t "http://cydj.5anquan.com/UILogin/_blank"</w:instrText>
            </w:r>
            <w:r>
              <w:rPr>
                <w:rFonts w:ascii="仿宋" w:hAnsi="仿宋" w:eastAsia="仿宋"/>
                <w:szCs w:val="21"/>
              </w:rPr>
              <w:fldChar w:fldCharType="separate"/>
            </w:r>
            <w:r>
              <w:rPr>
                <w:rFonts w:hint="eastAsia" w:ascii="仿宋" w:hAnsi="仿宋" w:eastAsia="仿宋"/>
                <w:szCs w:val="21"/>
              </w:rPr>
              <w:t>冯 皓</w:t>
            </w:r>
            <w:r>
              <w:rPr>
                <w:rFonts w:ascii="仿宋" w:hAnsi="仿宋" w:eastAsia="仿宋"/>
                <w:szCs w:val="21"/>
              </w:rPr>
              <w:fldChar w:fldCharType="end"/>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机械、化工机械</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1600000000201291</w:t>
            </w:r>
          </w:p>
        </w:tc>
        <w:tc>
          <w:tcPr>
            <w:tcW w:w="1812" w:type="dxa"/>
            <w:gridSpan w:val="5"/>
            <w:noWrap w:val="0"/>
            <w:vAlign w:val="center"/>
          </w:tcPr>
          <w:p>
            <w:pPr>
              <w:jc w:val="center"/>
              <w:rPr>
                <w:rFonts w:hint="eastAsia" w:ascii="仿宋" w:hAnsi="仿宋" w:eastAsia="仿宋"/>
                <w:szCs w:val="21"/>
              </w:rPr>
            </w:pPr>
            <w:r>
              <w:rPr>
                <w:rFonts w:hint="eastAsia" w:ascii="仿宋" w:hAnsi="仿宋" w:eastAsia="仿宋"/>
                <w:color w:val="000000"/>
                <w:szCs w:val="21"/>
              </w:rPr>
              <w:t>55130140330</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刘国勇</w:t>
            </w:r>
          </w:p>
        </w:tc>
        <w:tc>
          <w:tcPr>
            <w:tcW w:w="1586" w:type="dxa"/>
            <w:gridSpan w:val="2"/>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化工工艺</w:t>
            </w:r>
          </w:p>
        </w:tc>
        <w:tc>
          <w:tcPr>
            <w:tcW w:w="3511" w:type="dxa"/>
            <w:gridSpan w:val="5"/>
            <w:noWrap w:val="0"/>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1800000000100099</w:t>
            </w:r>
          </w:p>
        </w:tc>
        <w:tc>
          <w:tcPr>
            <w:tcW w:w="1812" w:type="dxa"/>
            <w:gridSpan w:val="5"/>
            <w:noWrap w:val="0"/>
            <w:vAlign w:val="center"/>
          </w:tcPr>
          <w:p>
            <w:pPr>
              <w:jc w:val="center"/>
              <w:rPr>
                <w:rFonts w:hint="eastAsia" w:ascii="仿宋" w:hAnsi="仿宋" w:eastAsia="仿宋"/>
                <w:szCs w:val="21"/>
              </w:rPr>
            </w:pPr>
            <w:r>
              <w:rPr>
                <w:rFonts w:hint="eastAsia" w:ascii="仿宋" w:hAnsi="仿宋" w:eastAsia="仿宋"/>
                <w:color w:val="000000"/>
                <w:szCs w:val="21"/>
              </w:rPr>
              <w:t>55060013805</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ind w:firstLine="420" w:firstLineChars="200"/>
              <w:rPr>
                <w:rFonts w:hint="eastAsia"/>
              </w:rPr>
            </w:pPr>
            <w:r>
              <w:rPr>
                <w:rFonts w:hint="eastAsia"/>
              </w:rPr>
              <w:t>技改5000吨级散货进口泊位1个，年设计通过能力150万吨；作业区占用岸线长度175m。益海嘉里（重庆）粮油有限公司大豆压榨项目以及面粉加工项目，所需大豆132万吨/年从本技改泊位卸船。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4121150" cy="3091180"/>
                  <wp:effectExtent l="0" t="0" r="12700" b="13970"/>
                  <wp:docPr id="1" name="图片 1" descr="IMG_3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3691"/>
                          <pic:cNvPicPr>
                            <a:picLocks noChangeAspect="1"/>
                          </pic:cNvPicPr>
                        </pic:nvPicPr>
                        <pic:blipFill>
                          <a:blip r:embed="rId4"/>
                          <a:stretch>
                            <a:fillRect/>
                          </a:stretch>
                        </pic:blipFill>
                        <pic:spPr>
                          <a:xfrm>
                            <a:off x="0" y="0"/>
                            <a:ext cx="4121150" cy="309118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377"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333"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ascii="仿宋" w:hAnsi="仿宋" w:eastAsia="仿宋"/>
                <w:kern w:val="2"/>
                <w:sz w:val="21"/>
                <w:szCs w:val="21"/>
                <w:lang w:val="en-US" w:eastAsia="zh-CN" w:bidi="ar-SA"/>
              </w:rPr>
            </w:pPr>
            <w:r>
              <w:rPr>
                <w:rFonts w:hint="eastAsia" w:ascii="仿宋" w:hAnsi="仿宋" w:eastAsia="仿宋"/>
                <w:szCs w:val="21"/>
              </w:rPr>
              <w:t>吴子科、高胡容</w:t>
            </w:r>
          </w:p>
        </w:tc>
        <w:tc>
          <w:tcPr>
            <w:tcW w:w="2377" w:type="dxa"/>
            <w:gridSpan w:val="4"/>
            <w:noWrap w:val="0"/>
            <w:vAlign w:val="center"/>
          </w:tcPr>
          <w:p>
            <w:pPr>
              <w:adjustRightInd w:val="0"/>
              <w:snapToGrid w:val="0"/>
              <w:ind w:firstLine="420" w:firstLineChars="200"/>
              <w:rPr>
                <w:rFonts w:hint="default" w:ascii="仿宋" w:hAnsi="仿宋" w:eastAsia="仿宋"/>
                <w:kern w:val="2"/>
                <w:sz w:val="21"/>
                <w:szCs w:val="21"/>
                <w:lang w:val="en-US" w:eastAsia="zh-CN" w:bidi="ar-SA"/>
              </w:rPr>
            </w:pPr>
            <w:r>
              <w:rPr>
                <w:rFonts w:hint="eastAsia" w:ascii="仿宋" w:hAnsi="仿宋" w:eastAsia="仿宋"/>
                <w:szCs w:val="21"/>
              </w:rPr>
              <w:t>2020.</w:t>
            </w:r>
            <w:r>
              <w:rPr>
                <w:rFonts w:hint="eastAsia" w:ascii="仿宋" w:hAnsi="仿宋" w:eastAsia="仿宋"/>
                <w:szCs w:val="21"/>
                <w:lang w:val="en-US" w:eastAsia="zh-CN"/>
              </w:rPr>
              <w:t>7.22</w:t>
            </w:r>
          </w:p>
        </w:tc>
        <w:tc>
          <w:tcPr>
            <w:tcW w:w="1276" w:type="dxa"/>
            <w:gridSpan w:val="2"/>
            <w:noWrap w:val="0"/>
            <w:vAlign w:val="center"/>
          </w:tcPr>
          <w:p>
            <w:pPr>
              <w:jc w:val="center"/>
              <w:rPr>
                <w:rFonts w:hint="eastAsia" w:ascii="仿宋" w:hAnsi="仿宋" w:eastAsia="仿宋" w:cs="宋体"/>
                <w:szCs w:val="21"/>
              </w:rPr>
            </w:pPr>
            <w:r>
              <w:rPr>
                <w:rFonts w:hint="eastAsia" w:ascii="仿宋" w:hAnsi="仿宋" w:eastAsia="仿宋" w:cs="宋体"/>
                <w:szCs w:val="21"/>
              </w:rPr>
              <w:t>签订合同</w:t>
            </w:r>
          </w:p>
        </w:tc>
        <w:tc>
          <w:tcPr>
            <w:tcW w:w="3333" w:type="dxa"/>
            <w:gridSpan w:val="5"/>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仿宋" w:hAnsi="仿宋" w:eastAsia="仿宋"/>
                <w:kern w:val="2"/>
                <w:sz w:val="21"/>
                <w:szCs w:val="21"/>
                <w:lang w:val="en-US" w:eastAsia="zh-CN" w:bidi="ar-SA"/>
              </w:rPr>
            </w:pPr>
            <w:r>
              <w:rPr>
                <w:rFonts w:hint="eastAsia" w:ascii="仿宋" w:hAnsi="仿宋" w:eastAsia="仿宋"/>
                <w:kern w:val="2"/>
                <w:sz w:val="21"/>
                <w:szCs w:val="21"/>
                <w:lang w:val="en-US" w:eastAsia="zh-CN" w:bidi="ar-SA"/>
              </w:rPr>
              <w:t>1）斜坡道上生活污水和油污水管道为红色，应改为灰色。</w:t>
            </w:r>
          </w:p>
          <w:p>
            <w:pPr>
              <w:pStyle w:val="7"/>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仿宋" w:hAnsi="仿宋" w:eastAsia="仿宋"/>
                <w:kern w:val="2"/>
                <w:sz w:val="21"/>
                <w:szCs w:val="21"/>
                <w:lang w:val="en-US" w:eastAsia="zh-CN" w:bidi="ar-SA"/>
              </w:rPr>
            </w:pPr>
            <w:r>
              <w:rPr>
                <w:rFonts w:hint="eastAsia" w:ascii="仿宋" w:hAnsi="仿宋" w:eastAsia="仿宋"/>
                <w:kern w:val="2"/>
                <w:sz w:val="21"/>
                <w:szCs w:val="21"/>
                <w:lang w:val="en-US" w:eastAsia="zh-CN" w:bidi="ar-SA"/>
              </w:rPr>
              <w:t>2）趸船上配电间门为木门，应为防火门。</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szCs w:val="21"/>
                <w:lang w:eastAsia="zh-CN"/>
              </w:rPr>
            </w:pPr>
            <w:r>
              <w:rPr>
                <w:rFonts w:hint="eastAsia" w:ascii="仿宋" w:hAnsi="仿宋" w:eastAsia="仿宋"/>
                <w:kern w:val="2"/>
                <w:sz w:val="21"/>
                <w:szCs w:val="21"/>
                <w:lang w:val="en-US" w:eastAsia="zh-CN" w:bidi="ar-SA"/>
              </w:rPr>
              <w:t>3）该泊位区域未设置“粮食专用泊位”的标识。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586" w:type="dxa"/>
            <w:gridSpan w:val="2"/>
            <w:noWrap w:val="0"/>
            <w:vAlign w:val="center"/>
          </w:tcPr>
          <w:p>
            <w:pPr>
              <w:spacing w:line="300" w:lineRule="exact"/>
              <w:jc w:val="center"/>
              <w:rPr>
                <w:rFonts w:ascii="仿宋" w:hAnsi="仿宋" w:eastAsia="仿宋"/>
                <w:szCs w:val="21"/>
              </w:rPr>
            </w:pPr>
          </w:p>
        </w:tc>
        <w:tc>
          <w:tcPr>
            <w:tcW w:w="2377" w:type="dxa"/>
            <w:gridSpan w:val="4"/>
            <w:noWrap w:val="0"/>
            <w:vAlign w:val="center"/>
          </w:tcPr>
          <w:p>
            <w:pPr>
              <w:adjustRightInd w:val="0"/>
              <w:snapToGrid w:val="0"/>
              <w:ind w:firstLine="420" w:firstLineChars="200"/>
              <w:rPr>
                <w:rFonts w:ascii="仿宋" w:hAnsi="仿宋" w:eastAsia="仿宋"/>
                <w:szCs w:val="21"/>
              </w:rPr>
            </w:pPr>
          </w:p>
        </w:tc>
        <w:tc>
          <w:tcPr>
            <w:tcW w:w="1276" w:type="dxa"/>
            <w:gridSpan w:val="2"/>
            <w:noWrap w:val="0"/>
            <w:vAlign w:val="center"/>
          </w:tcPr>
          <w:p>
            <w:pPr>
              <w:jc w:val="center"/>
              <w:rPr>
                <w:rFonts w:hint="eastAsia" w:ascii="仿宋" w:hAnsi="仿宋" w:eastAsia="仿宋" w:cs="宋体"/>
                <w:szCs w:val="21"/>
              </w:rPr>
            </w:pPr>
            <w:r>
              <w:rPr>
                <w:rFonts w:hint="eastAsia" w:ascii="仿宋" w:hAnsi="仿宋" w:eastAsia="仿宋" w:cs="宋体"/>
                <w:szCs w:val="21"/>
              </w:rPr>
              <w:t>编制报告</w:t>
            </w:r>
          </w:p>
        </w:tc>
        <w:tc>
          <w:tcPr>
            <w:tcW w:w="3333" w:type="dxa"/>
            <w:gridSpan w:val="5"/>
            <w:noWrap w:val="0"/>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586" w:type="dxa"/>
            <w:gridSpan w:val="2"/>
            <w:noWrap w:val="0"/>
            <w:vAlign w:val="center"/>
          </w:tcPr>
          <w:p>
            <w:pPr>
              <w:spacing w:line="300" w:lineRule="exact"/>
              <w:jc w:val="center"/>
              <w:rPr>
                <w:rFonts w:ascii="仿宋" w:hAnsi="仿宋" w:eastAsia="仿宋"/>
                <w:b/>
                <w:szCs w:val="21"/>
              </w:rPr>
            </w:pPr>
          </w:p>
        </w:tc>
        <w:tc>
          <w:tcPr>
            <w:tcW w:w="2377" w:type="dxa"/>
            <w:gridSpan w:val="4"/>
            <w:noWrap w:val="0"/>
            <w:vAlign w:val="center"/>
          </w:tcPr>
          <w:p>
            <w:pPr>
              <w:spacing w:line="300" w:lineRule="exact"/>
              <w:jc w:val="center"/>
              <w:rPr>
                <w:rFonts w:ascii="仿宋" w:hAnsi="仿宋" w:eastAsia="仿宋"/>
                <w:b/>
                <w:szCs w:val="21"/>
              </w:rPr>
            </w:pPr>
          </w:p>
        </w:tc>
        <w:tc>
          <w:tcPr>
            <w:tcW w:w="1276" w:type="dxa"/>
            <w:gridSpan w:val="2"/>
            <w:noWrap w:val="0"/>
            <w:vAlign w:val="center"/>
          </w:tcPr>
          <w:p>
            <w:pPr>
              <w:spacing w:line="300" w:lineRule="exact"/>
              <w:jc w:val="center"/>
              <w:rPr>
                <w:rFonts w:ascii="仿宋" w:hAnsi="仿宋" w:eastAsia="仿宋"/>
                <w:b/>
                <w:szCs w:val="21"/>
              </w:rPr>
            </w:pPr>
          </w:p>
        </w:tc>
        <w:tc>
          <w:tcPr>
            <w:tcW w:w="3333"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E7F69"/>
    <w:rsid w:val="333E7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3"/>
    <w:next w:val="3"/>
    <w:qFormat/>
    <w:uiPriority w:val="0"/>
    <w:pPr>
      <w:keepNext/>
      <w:keepLines/>
      <w:widowControl/>
      <w:tabs>
        <w:tab w:val="left" w:pos="5310"/>
      </w:tabs>
      <w:adjustRightInd w:val="0"/>
      <w:snapToGrid w:val="0"/>
      <w:spacing w:before="50" w:beforeLines="50" w:after="50" w:afterLines="50" w:line="360" w:lineRule="auto"/>
      <w:jc w:val="left"/>
      <w:outlineLvl w:val="1"/>
    </w:pPr>
    <w:rPr>
      <w:rFonts w:ascii="Times New Roman" w:hAnsi="Times New Roman" w:eastAsia="楷体_GB2312"/>
      <w:kern w:val="0"/>
      <w:sz w:val="30"/>
      <w:szCs w:val="32"/>
    </w:rPr>
  </w:style>
  <w:style w:type="paragraph" w:styleId="3">
    <w:name w:val="heading 3"/>
    <w:basedOn w:val="4"/>
    <w:next w:val="4"/>
    <w:qFormat/>
    <w:uiPriority w:val="0"/>
    <w:pPr>
      <w:keepNext/>
      <w:tabs>
        <w:tab w:val="left" w:pos="5310"/>
      </w:tabs>
      <w:adjustRightInd w:val="0"/>
      <w:snapToGrid w:val="0"/>
      <w:spacing w:line="360" w:lineRule="auto"/>
      <w:outlineLvl w:val="2"/>
    </w:pPr>
    <w:rPr>
      <w:rFonts w:ascii="Times New Roman" w:hAnsi="Times New Roman" w:eastAsia="仿宋_GB2312"/>
      <w:b/>
      <w:sz w:val="28"/>
      <w:szCs w:val="24"/>
    </w:rPr>
  </w:style>
  <w:style w:type="paragraph" w:styleId="4">
    <w:name w:val="heading 4"/>
    <w:basedOn w:val="1"/>
    <w:next w:val="1"/>
    <w:qFormat/>
    <w:uiPriority w:val="0"/>
    <w:pPr>
      <w:keepNext/>
      <w:keepLines/>
      <w:spacing w:line="360" w:lineRule="auto"/>
      <w:ind w:firstLine="482" w:firstLineChars="200"/>
      <w:jc w:val="left"/>
      <w:outlineLvl w:val="3"/>
    </w:pPr>
    <w:rPr>
      <w:rFonts w:ascii="Arial" w:hAnsi="Arial"/>
      <w:bCs/>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customStyle="1" w:styleId="7">
    <w:name w:val="ba正文"/>
    <w:basedOn w:val="8"/>
    <w:qFormat/>
    <w:uiPriority w:val="0"/>
    <w:pPr>
      <w:adjustRightInd w:val="0"/>
      <w:snapToGrid w:val="0"/>
      <w:spacing w:line="360" w:lineRule="auto"/>
      <w:ind w:firstLine="560" w:firstLineChars="200"/>
    </w:pPr>
    <w:rPr>
      <w:rFonts w:ascii="Arial" w:hAnsi="Arial"/>
      <w:kern w:val="0"/>
      <w:sz w:val="28"/>
      <w:szCs w:val="28"/>
    </w:rPr>
  </w:style>
  <w:style w:type="paragraph" w:customStyle="1" w:styleId="8">
    <w:name w:val="b正文"/>
    <w:basedOn w:val="9"/>
    <w:semiHidden/>
    <w:qFormat/>
    <w:uiPriority w:val="0"/>
    <w:pPr>
      <w:adjustRightInd w:val="0"/>
      <w:snapToGrid w:val="0"/>
      <w:spacing w:line="360" w:lineRule="auto"/>
      <w:ind w:firstLine="482" w:firstLineChars="200"/>
    </w:pPr>
    <w:rPr>
      <w:rFonts w:ascii="宋体" w:hAnsi="宋体" w:eastAsia="宋体"/>
    </w:rPr>
  </w:style>
  <w:style w:type="paragraph" w:customStyle="1" w:styleId="9">
    <w:name w:val="正文车"/>
    <w:basedOn w:val="1"/>
    <w:semiHidden/>
    <w:qFormat/>
    <w:uiPriority w:val="0"/>
    <w:pPr>
      <w:spacing w:line="520" w:lineRule="exact"/>
      <w:ind w:firstLine="560" w:firstLineChars="200"/>
    </w:pPr>
    <w:rPr>
      <w:rFonts w:ascii="Arial" w:hAnsi="Arial" w:cs="Ari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2020-09-29T02:31:00Z</dcterms:created>
  <dc:creator>Neuropathy.</dc:creator>
  <cp:lastModifiedBy>Neuropathy.</cp:lastModifiedBy>
  <dcterms:modified xsi:type="dcterms:W3CDTF">2020-09-29T02:32:06Z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