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09"/>
        <w:gridCol w:w="300"/>
        <w:gridCol w:w="588"/>
        <w:gridCol w:w="472"/>
        <w:gridCol w:w="341"/>
        <w:gridCol w:w="949"/>
        <w:gridCol w:w="311"/>
        <w:gridCol w:w="1287"/>
        <w:gridCol w:w="163"/>
        <w:gridCol w:w="719"/>
        <w:gridCol w:w="420"/>
        <w:gridCol w:w="355"/>
        <w:gridCol w:w="13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贵州燃气（集团）仁怀市燃气有限责任公司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ascii="仿宋" w:hAnsi="仿宋" w:eastAsia="仿宋" w:cs="Arial"/>
                <w:szCs w:val="21"/>
              </w:rPr>
              <w:t>贵州燃气（集团）仁怀市燃气有限责任公司坛厂天然气综合站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□预评价  □现状评价    </w:t>
            </w:r>
            <w:r>
              <w:rPr>
                <w:rFonts w:hint="eastAsia" w:ascii="仿宋" w:hAnsi="MS Mincho" w:eastAsia="MS Mincho" w:cs="MS Mincho"/>
                <w:szCs w:val="21"/>
              </w:rPr>
              <w:t>☑</w:t>
            </w:r>
            <w:r>
              <w:rPr>
                <w:rFonts w:hint="eastAsia" w:ascii="仿宋" w:hAnsi="仿宋" w:eastAsia="仿宋" w:cs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3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城镇燃气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987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徐茂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陈美宝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Arial"/>
                <w:szCs w:val="21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17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王永辉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2020.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6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吴子科</w:t>
            </w:r>
          </w:p>
        </w:tc>
        <w:tc>
          <w:tcPr>
            <w:tcW w:w="2156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安全评价师从业识别卡/证书编号</w:t>
            </w:r>
          </w:p>
        </w:tc>
        <w:tc>
          <w:tcPr>
            <w:tcW w:w="2944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注册证号</w:t>
            </w:r>
          </w:p>
        </w:tc>
        <w:tc>
          <w:tcPr>
            <w:tcW w:w="1381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" w:hAnsi="仿宋" w:eastAsia="仿宋" w:cs="Arial"/>
                <w:color w:val="FF0000"/>
                <w:szCs w:val="21"/>
              </w:rPr>
            </w:pPr>
            <w:r>
              <w:rPr>
                <w:rFonts w:ascii="仿宋" w:hAnsi="仿宋" w:eastAsia="仿宋" w:cs="Arial"/>
                <w:szCs w:val="21"/>
              </w:rPr>
              <w:t>徐  茂</w:t>
            </w:r>
          </w:p>
        </w:tc>
        <w:tc>
          <w:tcPr>
            <w:tcW w:w="1586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szCs w:val="21"/>
              </w:rPr>
              <w:t>通风与安全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" w:hAnsi="仿宋" w:eastAsia="仿宋" w:cs="Arial"/>
                <w:color w:val="FF0000"/>
                <w:szCs w:val="21"/>
              </w:rPr>
            </w:pPr>
            <w:r>
              <w:rPr>
                <w:rFonts w:ascii="仿宋" w:hAnsi="仿宋" w:eastAsia="仿宋" w:cs="Arial"/>
                <w:szCs w:val="21"/>
              </w:rPr>
              <w:t>008344</w:t>
            </w:r>
          </w:p>
        </w:tc>
        <w:tc>
          <w:tcPr>
            <w:tcW w:w="2944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/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" w:hAnsi="仿宋" w:eastAsia="仿宋" w:cs="Arial"/>
                <w:color w:val="FF0000"/>
                <w:szCs w:val="21"/>
              </w:rPr>
            </w:pPr>
            <w:r>
              <w:rPr>
                <w:rFonts w:ascii="仿宋" w:hAnsi="仿宋" w:eastAsia="仿宋" w:cs="Arial"/>
                <w:szCs w:val="21"/>
              </w:rPr>
              <w:t>王永辉</w:t>
            </w:r>
          </w:p>
        </w:tc>
        <w:tc>
          <w:tcPr>
            <w:tcW w:w="1586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szCs w:val="21"/>
              </w:rPr>
              <w:t>电气自动化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" w:hAnsi="仿宋" w:eastAsia="仿宋" w:cs="Arial"/>
                <w:color w:val="FF0000"/>
                <w:szCs w:val="21"/>
              </w:rPr>
            </w:pPr>
            <w:r>
              <w:rPr>
                <w:rFonts w:ascii="仿宋" w:hAnsi="仿宋" w:eastAsia="仿宋" w:cs="Arial"/>
                <w:szCs w:val="21"/>
              </w:rPr>
              <w:t>034150</w:t>
            </w:r>
          </w:p>
        </w:tc>
        <w:tc>
          <w:tcPr>
            <w:tcW w:w="2944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/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" w:hAnsi="仿宋" w:eastAsia="仿宋" w:cs="Arial"/>
                <w:szCs w:val="21"/>
              </w:rPr>
            </w:pPr>
            <w:r>
              <w:rPr>
                <w:rFonts w:ascii="仿宋" w:hAnsi="仿宋" w:eastAsia="仿宋" w:cs="Arial"/>
                <w:szCs w:val="21"/>
              </w:rPr>
              <w:t>欧中锴</w:t>
            </w:r>
          </w:p>
        </w:tc>
        <w:tc>
          <w:tcPr>
            <w:tcW w:w="158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Arial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" w:hAnsi="仿宋" w:eastAsia="仿宋" w:cs="Arial"/>
                <w:szCs w:val="21"/>
              </w:rPr>
            </w:pPr>
            <w:r>
              <w:rPr>
                <w:rFonts w:ascii="仿宋" w:hAnsi="仿宋" w:eastAsia="仿宋" w:cs="Arial"/>
                <w:szCs w:val="21"/>
              </w:rPr>
              <w:t>031212</w:t>
            </w:r>
          </w:p>
        </w:tc>
        <w:tc>
          <w:tcPr>
            <w:tcW w:w="2944" w:type="dxa"/>
            <w:gridSpan w:val="5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/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" w:hAnsi="仿宋" w:eastAsia="仿宋" w:cs="Arial"/>
                <w:szCs w:val="21"/>
              </w:rPr>
            </w:pPr>
            <w:r>
              <w:rPr>
                <w:rFonts w:ascii="仿宋" w:hAnsi="仿宋" w:eastAsia="仿宋" w:cs="Arial"/>
                <w:szCs w:val="21"/>
              </w:rPr>
              <w:t>熊仁君</w:t>
            </w:r>
          </w:p>
        </w:tc>
        <w:tc>
          <w:tcPr>
            <w:tcW w:w="158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Arial"/>
                <w:szCs w:val="21"/>
              </w:rPr>
            </w:pPr>
            <w:r>
              <w:rPr>
                <w:rFonts w:hint="eastAsia" w:ascii="仿宋" w:hAnsi="仿宋" w:eastAsia="仿宋" w:cs="Arial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Arial"/>
                <w:szCs w:val="21"/>
              </w:rPr>
            </w:pPr>
            <w:r>
              <w:rPr>
                <w:rFonts w:ascii="仿宋" w:hAnsi="仿宋" w:eastAsia="仿宋" w:cs="Arial"/>
                <w:szCs w:val="21"/>
                <w:shd w:val="clear" w:color="auto" w:fill="F4F4F4"/>
              </w:rPr>
              <w:t>015225</w:t>
            </w:r>
          </w:p>
        </w:tc>
        <w:tc>
          <w:tcPr>
            <w:tcW w:w="2944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55070030074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" w:hAnsi="仿宋" w:eastAsia="仿宋" w:cs="Arial"/>
                <w:szCs w:val="21"/>
              </w:rPr>
            </w:pPr>
            <w:r>
              <w:rPr>
                <w:rFonts w:ascii="仿宋" w:hAnsi="仿宋" w:eastAsia="仿宋" w:cs="Arial"/>
                <w:szCs w:val="21"/>
              </w:rPr>
              <w:t>唐波</w:t>
            </w:r>
          </w:p>
        </w:tc>
        <w:tc>
          <w:tcPr>
            <w:tcW w:w="158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Arial"/>
                <w:szCs w:val="21"/>
              </w:rPr>
            </w:pPr>
            <w:r>
              <w:rPr>
                <w:rFonts w:ascii="仿宋" w:hAnsi="仿宋" w:eastAsia="仿宋" w:cs="Arial"/>
                <w:szCs w:val="21"/>
              </w:rPr>
              <w:t xml:space="preserve"> </w:t>
            </w:r>
            <w:r>
              <w:rPr>
                <w:rFonts w:hint="eastAsia" w:ascii="仿宋" w:hAnsi="仿宋" w:eastAsia="仿宋" w:cs="Arial"/>
                <w:szCs w:val="21"/>
              </w:rPr>
              <w:t>机 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Arial"/>
                <w:szCs w:val="21"/>
              </w:rPr>
            </w:pPr>
            <w:r>
              <w:rPr>
                <w:rFonts w:ascii="仿宋" w:hAnsi="仿宋" w:eastAsia="仿宋" w:cs="Arial"/>
                <w:szCs w:val="21"/>
                <w:shd w:val="clear" w:color="auto" w:fill="F4F4F4"/>
              </w:rPr>
              <w:t>035894</w:t>
            </w:r>
          </w:p>
        </w:tc>
        <w:tc>
          <w:tcPr>
            <w:tcW w:w="2944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/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火炸药、安全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003832</w:t>
            </w:r>
          </w:p>
        </w:tc>
        <w:tc>
          <w:tcPr>
            <w:tcW w:w="294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55080052964</w:t>
            </w:r>
          </w:p>
        </w:tc>
        <w:tc>
          <w:tcPr>
            <w:tcW w:w="1381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吴子科</w:t>
            </w:r>
          </w:p>
        </w:tc>
        <w:tc>
          <w:tcPr>
            <w:tcW w:w="1586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Cs w:val="21"/>
              </w:rPr>
              <w:t>水工结构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Cs w:val="21"/>
              </w:rPr>
              <w:t>023846</w:t>
            </w:r>
          </w:p>
        </w:tc>
        <w:tc>
          <w:tcPr>
            <w:tcW w:w="294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/</w:t>
            </w:r>
          </w:p>
        </w:tc>
        <w:tc>
          <w:tcPr>
            <w:tcW w:w="1381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Arial"/>
                <w:szCs w:val="21"/>
              </w:rPr>
              <w:t>019237</w:t>
            </w:r>
          </w:p>
        </w:tc>
        <w:tc>
          <w:tcPr>
            <w:tcW w:w="294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55090082828</w:t>
            </w:r>
          </w:p>
        </w:tc>
        <w:tc>
          <w:tcPr>
            <w:tcW w:w="1381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016795</w:t>
            </w:r>
          </w:p>
        </w:tc>
        <w:tc>
          <w:tcPr>
            <w:tcW w:w="294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55090076429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项目简介：</w:t>
            </w:r>
          </w:p>
          <w:p>
            <w:pPr>
              <w:ind w:firstLine="420" w:firstLineChars="2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贵州燃气（集团）仁怀市燃气有限责任公司成立于2011年6月24日，为有限责任公司，法定代表人：陈跃东。注册资金4000万元人民币，由贵州燃气（集团）有限责任公司、广州元亨燃气有限公司、达州市汇鑫能源有限公司共同出资，在贵州省仁怀市注册成立的有限责任公司，主要从事管道燃气（天然气）的储存、输配销售与售后服务，天然气管道及附属设施的安装、维修维护。</w:t>
            </w:r>
          </w:p>
          <w:p>
            <w:pPr>
              <w:ind w:firstLine="420" w:firstLineChars="2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荣昌坝LNG储配站为贵州燃气（集团）仁怀市燃气有限责任公司下属场站，于2013年建成、2014年6月30日组织竣工验收，2014年7月7日向仁怀市建筑工程质量监督检查站进行备案，于2015年9月24日通过遵义市公安消防支队的消防验收并获得《建设工程消防验收意见书》遵公消验字〔2015〕0285号文件。</w:t>
            </w:r>
          </w:p>
          <w:p>
            <w:pPr>
              <w:adjustRightInd w:val="0"/>
              <w:snapToGrid w:val="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荣昌坝LNG储配站在储罐区共设置有100m³液化天然气立式贮罐12个（其中有4个罐于2019年10月新增），3000Nm³/h空温式汽化器12台（其中有4台于2019年10月新增），400Nm³/h卸车增压器3台；500Nm³/h储罐自增压器3台；12000+800Nm³/h水浴式加热器2台；800Nm³/hBOG加热器1台；800Nm</w:t>
            </w:r>
            <w:r>
              <w:rPr>
                <w:rFonts w:hint="eastAsia" w:ascii="仿宋" w:hAnsi="仿宋" w:eastAsia="仿宋" w:cs="仿宋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zCs w:val="21"/>
              </w:rPr>
              <w:t>/hEAG气化器1台；12000+1000Nm³/h调压计量加臭撬2套；空压机供气系统1套；阀门及工艺管道1套</w:t>
            </w:r>
          </w:p>
          <w:p>
            <w:pPr>
              <w:adjustRightInd w:val="0"/>
              <w:snapToGrid w:val="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仿宋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drawing>
                <wp:inline distT="0" distB="0" distL="114300" distR="114300">
                  <wp:extent cx="5302885" cy="2790190"/>
                  <wp:effectExtent l="0" t="0" r="12065" b="10160"/>
                  <wp:docPr id="1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rcRect t="6736" b="117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2885" cy="2790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drawing>
                <wp:inline distT="0" distB="0" distL="114300" distR="114300">
                  <wp:extent cx="5300345" cy="2955925"/>
                  <wp:effectExtent l="0" t="0" r="14605" b="15875"/>
                  <wp:docPr id="2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rcRect t="13916" b="56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0345" cy="2955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现场开展工作情况</w:t>
            </w:r>
          </w:p>
        </w:tc>
        <w:tc>
          <w:tcPr>
            <w:tcW w:w="12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勘验人员</w:t>
            </w:r>
          </w:p>
        </w:tc>
        <w:tc>
          <w:tcPr>
            <w:tcW w:w="136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勘验时间</w:t>
            </w:r>
          </w:p>
        </w:tc>
        <w:tc>
          <w:tcPr>
            <w:tcW w:w="419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勘验任务</w:t>
            </w:r>
          </w:p>
        </w:tc>
        <w:tc>
          <w:tcPr>
            <w:tcW w:w="173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徐茂</w:t>
            </w:r>
          </w:p>
        </w:tc>
        <w:tc>
          <w:tcPr>
            <w:tcW w:w="136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2019.12.15</w:t>
            </w:r>
          </w:p>
        </w:tc>
        <w:tc>
          <w:tcPr>
            <w:tcW w:w="419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现场指导</w:t>
            </w:r>
          </w:p>
        </w:tc>
        <w:tc>
          <w:tcPr>
            <w:tcW w:w="1736" w:type="dxa"/>
            <w:gridSpan w:val="2"/>
            <w:vMerge w:val="restart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1、配电室电气线路不规范；</w:t>
            </w:r>
          </w:p>
          <w:p>
            <w:pPr>
              <w:pStyle w:val="2"/>
              <w:ind w:firstLine="0" w:firstLineChars="0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2、发电机房设置不合理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王永辉</w:t>
            </w:r>
          </w:p>
        </w:tc>
        <w:tc>
          <w:tcPr>
            <w:tcW w:w="136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2019.12.15</w:t>
            </w:r>
          </w:p>
        </w:tc>
        <w:tc>
          <w:tcPr>
            <w:tcW w:w="419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报告编制和现场资料收集</w:t>
            </w:r>
          </w:p>
        </w:tc>
        <w:tc>
          <w:tcPr>
            <w:tcW w:w="1736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935004"/>
    <w:rsid w:val="3993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2020-09-14T06:51:00Z</dcterms:created>
  <dc:creator>Neuropathy.</dc:creator>
  <cp:lastModifiedBy>Neuropathy.</cp:lastModifiedBy>
  <dcterms:modified xsi:type="dcterms:W3CDTF">2020-09-14T06:51:26Z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