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5"/>
        <w:tblW w:w="93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633"/>
        <w:gridCol w:w="850"/>
        <w:gridCol w:w="551"/>
        <w:gridCol w:w="760"/>
        <w:gridCol w:w="888"/>
        <w:gridCol w:w="707"/>
        <w:gridCol w:w="693"/>
        <w:gridCol w:w="94"/>
        <w:gridCol w:w="153"/>
        <w:gridCol w:w="1134"/>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682"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49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2842" w:type="dxa"/>
            <w:gridSpan w:val="3"/>
            <w:noWrap w:val="0"/>
            <w:vAlign w:val="center"/>
          </w:tcPr>
          <w:p>
            <w:pPr>
              <w:spacing w:line="500" w:lineRule="exact"/>
              <w:jc w:val="center"/>
              <w:rPr>
                <w:rFonts w:hint="eastAsia" w:ascii="仿宋" w:hAnsi="仿宋" w:eastAsia="仿宋"/>
                <w:szCs w:val="21"/>
              </w:rPr>
            </w:pPr>
            <w:r>
              <w:rPr>
                <w:rFonts w:hint="eastAsia"/>
                <w:b/>
                <w:bCs/>
                <w:color w:val="auto"/>
                <w:szCs w:val="28"/>
              </w:rPr>
              <w:t>APJ-（</w:t>
            </w:r>
            <w:r>
              <w:rPr>
                <w:rFonts w:hint="eastAsia"/>
                <w:b/>
                <w:bCs/>
                <w:color w:val="auto"/>
                <w:szCs w:val="28"/>
                <w:lang w:val="en-US" w:eastAsia="zh-CN"/>
              </w:rPr>
              <w:t>渝</w:t>
            </w:r>
            <w:r>
              <w:rPr>
                <w:rFonts w:hint="eastAsia"/>
                <w:b/>
                <w:bCs/>
                <w:color w:val="auto"/>
                <w:szCs w:val="28"/>
              </w:rPr>
              <w:t xml:space="preserve">）- </w:t>
            </w:r>
            <w:r>
              <w:rPr>
                <w:rFonts w:hint="eastAsia"/>
                <w:b/>
                <w:bCs/>
                <w:color w:val="auto"/>
                <w:szCs w:val="28"/>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018" w:type="dxa"/>
            <w:gridSpan w:val="11"/>
            <w:noWrap w:val="0"/>
            <w:vAlign w:val="center"/>
          </w:tcPr>
          <w:p>
            <w:pPr>
              <w:spacing w:line="500" w:lineRule="exact"/>
              <w:jc w:val="center"/>
              <w:rPr>
                <w:rFonts w:hint="eastAsia" w:ascii="仿宋" w:hAnsi="仿宋" w:eastAsia="仿宋"/>
                <w:szCs w:val="21"/>
              </w:rPr>
            </w:pPr>
            <w:r>
              <w:rPr>
                <w:rFonts w:hint="eastAsia"/>
              </w:rPr>
              <w:t>重庆众厦燃料有限责任公司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018" w:type="dxa"/>
            <w:gridSpan w:val="11"/>
            <w:noWrap w:val="0"/>
            <w:vAlign w:val="center"/>
          </w:tcPr>
          <w:p>
            <w:pPr>
              <w:spacing w:line="360" w:lineRule="auto"/>
              <w:rPr>
                <w:rFonts w:hint="eastAsia" w:ascii="仿宋" w:hAnsi="仿宋" w:eastAsia="仿宋"/>
                <w:bCs/>
                <w:szCs w:val="21"/>
              </w:rPr>
            </w:pPr>
            <w:r>
              <w:rPr>
                <w:rFonts w:hint="eastAsia"/>
              </w:rPr>
              <w:t>重庆众厦燃料有限责任公司南川区新桥加油站设立安全评价报告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018" w:type="dxa"/>
            <w:gridSpan w:val="11"/>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1933"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385" w:type="dxa"/>
            <w:gridSpan w:val="10"/>
            <w:noWrap w:val="0"/>
            <w:vAlign w:val="top"/>
          </w:tcPr>
          <w:p>
            <w:pPr>
              <w:spacing w:line="400" w:lineRule="exact"/>
              <w:ind w:firstLine="2310" w:firstLineChars="1100"/>
              <w:rPr>
                <w:rFonts w:hint="eastAsia" w:ascii="仿宋" w:hAnsi="仿宋" w:eastAsia="仿宋"/>
                <w:szCs w:val="21"/>
              </w:rPr>
            </w:pPr>
            <w:r>
              <w:rPr>
                <w:rFonts w:hint="eastAsia" w:ascii="仿宋" w:hAnsi="仿宋" w:eastAsia="仿宋"/>
                <w:szCs w:val="21"/>
              </w:rPr>
              <w:t>行业类型：汽油、柴油经营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3" w:hRule="atLeast"/>
        </w:trPr>
        <w:tc>
          <w:tcPr>
            <w:tcW w:w="9318" w:type="dxa"/>
            <w:gridSpan w:val="1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794"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535" w:type="dxa"/>
            <w:gridSpan w:val="5"/>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689"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continue"/>
            <w:noWrap w:val="0"/>
            <w:vAlign w:val="center"/>
          </w:tcPr>
          <w:p>
            <w:pPr>
              <w:spacing w:line="500" w:lineRule="exact"/>
              <w:jc w:val="center"/>
              <w:rPr>
                <w:rFonts w:hint="eastAsia" w:ascii="仿宋" w:hAnsi="仿宋" w:eastAsia="仿宋"/>
                <w:b/>
                <w:szCs w:val="21"/>
              </w:rPr>
            </w:pPr>
          </w:p>
        </w:tc>
        <w:tc>
          <w:tcPr>
            <w:tcW w:w="2794"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刘文娟</w:t>
            </w:r>
          </w:p>
        </w:tc>
        <w:tc>
          <w:tcPr>
            <w:tcW w:w="2535" w:type="dxa"/>
            <w:gridSpan w:val="5"/>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刘国勇</w:t>
            </w:r>
          </w:p>
        </w:tc>
        <w:tc>
          <w:tcPr>
            <w:tcW w:w="2689" w:type="dxa"/>
            <w:gridSpan w:val="2"/>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03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35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074"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1555"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trPr>
        <w:tc>
          <w:tcPr>
            <w:tcW w:w="1300" w:type="dxa"/>
            <w:vMerge w:val="continue"/>
            <w:noWrap w:val="0"/>
            <w:vAlign w:val="center"/>
          </w:tcPr>
          <w:p>
            <w:pPr>
              <w:spacing w:line="500" w:lineRule="exact"/>
              <w:jc w:val="center"/>
              <w:rPr>
                <w:rFonts w:hint="eastAsia" w:ascii="仿宋" w:hAnsi="仿宋" w:eastAsia="仿宋"/>
                <w:b/>
                <w:szCs w:val="21"/>
              </w:rPr>
            </w:pPr>
          </w:p>
        </w:tc>
        <w:tc>
          <w:tcPr>
            <w:tcW w:w="2034" w:type="dxa"/>
            <w:gridSpan w:val="3"/>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刘文娟</w:t>
            </w:r>
          </w:p>
        </w:tc>
        <w:tc>
          <w:tcPr>
            <w:tcW w:w="2355" w:type="dxa"/>
            <w:gridSpan w:val="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2020.08.20</w:t>
            </w:r>
          </w:p>
        </w:tc>
        <w:tc>
          <w:tcPr>
            <w:tcW w:w="2074"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蔡治勇</w:t>
            </w:r>
          </w:p>
        </w:tc>
        <w:tc>
          <w:tcPr>
            <w:tcW w:w="1555" w:type="dxa"/>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trPr>
        <w:tc>
          <w:tcPr>
            <w:tcW w:w="130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483"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906" w:type="dxa"/>
            <w:gridSpan w:val="4"/>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074" w:type="dxa"/>
            <w:gridSpan w:val="4"/>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555"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cs="宋体"/>
                <w:kern w:val="0"/>
                <w:szCs w:val="21"/>
              </w:rPr>
            </w:pPr>
            <w:bookmarkStart w:id="0" w:name="_GoBack" w:colFirst="0" w:colLast="4"/>
            <w:r>
              <w:rPr>
                <w:rFonts w:hint="eastAsia" w:ascii="仿宋" w:hAnsi="仿宋" w:eastAsia="仿宋" w:cs="宋体"/>
                <w:kern w:val="0"/>
                <w:szCs w:val="21"/>
                <w:lang w:val="en-US" w:eastAsia="zh-CN"/>
              </w:rPr>
              <w:t>刘文娟</w:t>
            </w:r>
          </w:p>
        </w:tc>
        <w:tc>
          <w:tcPr>
            <w:tcW w:w="1483"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电气、自动化（仪表）</w:t>
            </w:r>
          </w:p>
        </w:tc>
        <w:tc>
          <w:tcPr>
            <w:tcW w:w="2906"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1700000000201153</w:t>
            </w:r>
          </w:p>
        </w:tc>
        <w:tc>
          <w:tcPr>
            <w:tcW w:w="2074"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55140156484</w:t>
            </w:r>
          </w:p>
        </w:tc>
        <w:tc>
          <w:tcPr>
            <w:tcW w:w="1555"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黄安勇</w:t>
            </w:r>
          </w:p>
        </w:tc>
        <w:tc>
          <w:tcPr>
            <w:tcW w:w="1483"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906"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S011053000110192003183</w:t>
            </w:r>
          </w:p>
        </w:tc>
        <w:tc>
          <w:tcPr>
            <w:tcW w:w="2074" w:type="dxa"/>
            <w:gridSpan w:val="4"/>
            <w:noWrap w:val="0"/>
            <w:vAlign w:val="center"/>
          </w:tcPr>
          <w:p>
            <w:pPr>
              <w:widowControl/>
              <w:adjustRightInd w:val="0"/>
              <w:snapToGrid w:val="0"/>
              <w:jc w:val="center"/>
              <w:rPr>
                <w:rFonts w:hint="default"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w:t>
            </w:r>
          </w:p>
        </w:tc>
        <w:tc>
          <w:tcPr>
            <w:tcW w:w="1555"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何文勋</w:t>
            </w:r>
          </w:p>
        </w:tc>
        <w:tc>
          <w:tcPr>
            <w:tcW w:w="1483"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安全</w:t>
            </w:r>
          </w:p>
        </w:tc>
        <w:tc>
          <w:tcPr>
            <w:tcW w:w="2906" w:type="dxa"/>
            <w:gridSpan w:val="4"/>
            <w:noWrap w:val="0"/>
            <w:vAlign w:val="center"/>
          </w:tcPr>
          <w:p>
            <w:pPr>
              <w:widowControl/>
              <w:adjustRightInd w:val="0"/>
              <w:snapToGrid w:val="0"/>
              <w:jc w:val="center"/>
              <w:rPr>
                <w:rFonts w:hint="default"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S011053000110193002272</w:t>
            </w:r>
          </w:p>
        </w:tc>
        <w:tc>
          <w:tcPr>
            <w:tcW w:w="2074"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w:t>
            </w:r>
          </w:p>
        </w:tc>
        <w:tc>
          <w:tcPr>
            <w:tcW w:w="1555"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李伟</w:t>
            </w:r>
          </w:p>
        </w:tc>
        <w:tc>
          <w:tcPr>
            <w:tcW w:w="1483" w:type="dxa"/>
            <w:gridSpan w:val="2"/>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default" w:ascii="仿宋" w:hAnsi="仿宋" w:eastAsia="仿宋" w:cs="宋体"/>
                <w:kern w:val="0"/>
                <w:szCs w:val="21"/>
                <w:lang w:val="en-US" w:eastAsia="zh-CN"/>
              </w:rPr>
              <w:t>机械</w:t>
            </w:r>
            <w:r>
              <w:rPr>
                <w:rFonts w:hint="eastAsia" w:ascii="仿宋" w:hAnsi="仿宋" w:eastAsia="仿宋" w:cs="宋体"/>
                <w:kern w:val="0"/>
                <w:szCs w:val="21"/>
                <w:lang w:val="en-US" w:eastAsia="zh-CN"/>
              </w:rPr>
              <w:t>、</w:t>
            </w:r>
            <w:r>
              <w:rPr>
                <w:rFonts w:hint="default" w:ascii="仿宋" w:hAnsi="仿宋" w:eastAsia="仿宋" w:cs="宋体"/>
                <w:kern w:val="0"/>
                <w:szCs w:val="21"/>
                <w:lang w:val="en-US" w:eastAsia="zh-CN"/>
              </w:rPr>
              <w:t>安全</w:t>
            </w:r>
          </w:p>
        </w:tc>
        <w:tc>
          <w:tcPr>
            <w:tcW w:w="2906"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default" w:ascii="仿宋" w:hAnsi="仿宋" w:eastAsia="仿宋" w:cs="宋体"/>
                <w:kern w:val="0"/>
                <w:szCs w:val="21"/>
                <w:lang w:val="en-US" w:eastAsia="zh-CN"/>
              </w:rPr>
              <w:t>1800000000201223</w:t>
            </w:r>
          </w:p>
        </w:tc>
        <w:tc>
          <w:tcPr>
            <w:tcW w:w="2074"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w:t>
            </w:r>
          </w:p>
        </w:tc>
        <w:tc>
          <w:tcPr>
            <w:tcW w:w="1555"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孟萌萌</w:t>
            </w:r>
          </w:p>
        </w:tc>
        <w:tc>
          <w:tcPr>
            <w:tcW w:w="1483" w:type="dxa"/>
            <w:gridSpan w:val="2"/>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电气</w:t>
            </w:r>
          </w:p>
        </w:tc>
        <w:tc>
          <w:tcPr>
            <w:tcW w:w="2906"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1100000000301652</w:t>
            </w:r>
          </w:p>
        </w:tc>
        <w:tc>
          <w:tcPr>
            <w:tcW w:w="2074"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w:t>
            </w:r>
          </w:p>
        </w:tc>
        <w:tc>
          <w:tcPr>
            <w:tcW w:w="1555"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default" w:ascii="仿宋" w:hAnsi="仿宋" w:eastAsia="仿宋"/>
                <w:szCs w:val="21"/>
                <w:lang w:val="en-US" w:eastAsia="zh-CN"/>
              </w:rPr>
            </w:pPr>
            <w:r>
              <w:rPr>
                <w:rFonts w:hint="eastAsia" w:ascii="仿宋" w:hAnsi="仿宋" w:eastAsia="仿宋" w:cs="宋体"/>
                <w:kern w:val="0"/>
                <w:szCs w:val="21"/>
                <w:lang w:val="en-US" w:eastAsia="zh-CN"/>
              </w:rPr>
              <w:t>冯  皓</w:t>
            </w:r>
          </w:p>
        </w:tc>
        <w:tc>
          <w:tcPr>
            <w:tcW w:w="1483" w:type="dxa"/>
            <w:gridSpan w:val="2"/>
            <w:noWrap w:val="0"/>
            <w:vAlign w:val="center"/>
          </w:tcPr>
          <w:p>
            <w:pPr>
              <w:widowControl/>
              <w:adjustRightInd w:val="0"/>
              <w:snapToGrid w:val="0"/>
              <w:jc w:val="center"/>
              <w:rPr>
                <w:rFonts w:hint="default"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机械、化工机械</w:t>
            </w:r>
          </w:p>
        </w:tc>
        <w:tc>
          <w:tcPr>
            <w:tcW w:w="2906" w:type="dxa"/>
            <w:gridSpan w:val="4"/>
            <w:noWrap w:val="0"/>
            <w:vAlign w:val="center"/>
          </w:tcPr>
          <w:p>
            <w:pPr>
              <w:widowControl/>
              <w:adjustRightInd w:val="0"/>
              <w:snapToGrid w:val="0"/>
              <w:jc w:val="center"/>
              <w:rPr>
                <w:rFonts w:hint="default"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1600000000201291</w:t>
            </w:r>
          </w:p>
        </w:tc>
        <w:tc>
          <w:tcPr>
            <w:tcW w:w="2074"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55130140330</w:t>
            </w:r>
          </w:p>
        </w:tc>
        <w:tc>
          <w:tcPr>
            <w:tcW w:w="1555" w:type="dxa"/>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刘国勇</w:t>
            </w:r>
          </w:p>
        </w:tc>
        <w:tc>
          <w:tcPr>
            <w:tcW w:w="1483" w:type="dxa"/>
            <w:gridSpan w:val="2"/>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化工工艺</w:t>
            </w:r>
          </w:p>
        </w:tc>
        <w:tc>
          <w:tcPr>
            <w:tcW w:w="2906"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1800000000100099</w:t>
            </w:r>
          </w:p>
        </w:tc>
        <w:tc>
          <w:tcPr>
            <w:tcW w:w="2074"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55060013805</w:t>
            </w:r>
          </w:p>
        </w:tc>
        <w:tc>
          <w:tcPr>
            <w:tcW w:w="1555" w:type="dxa"/>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atLeast"/>
        </w:trPr>
        <w:tc>
          <w:tcPr>
            <w:tcW w:w="1300" w:type="dxa"/>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蔡治勇</w:t>
            </w:r>
          </w:p>
        </w:tc>
        <w:tc>
          <w:tcPr>
            <w:tcW w:w="1483" w:type="dxa"/>
            <w:gridSpan w:val="2"/>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火炸药；安全</w:t>
            </w:r>
          </w:p>
        </w:tc>
        <w:tc>
          <w:tcPr>
            <w:tcW w:w="2906"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0800000000102949</w:t>
            </w:r>
          </w:p>
        </w:tc>
        <w:tc>
          <w:tcPr>
            <w:tcW w:w="2074" w:type="dxa"/>
            <w:gridSpan w:val="4"/>
            <w:noWrap w:val="0"/>
            <w:vAlign w:val="center"/>
          </w:tcPr>
          <w:p>
            <w:pPr>
              <w:widowControl/>
              <w:adjustRightInd w:val="0"/>
              <w:snapToGrid w:val="0"/>
              <w:jc w:val="center"/>
              <w:rPr>
                <w:rFonts w:hint="eastAsia" w:ascii="仿宋_GB2312" w:hAnsi="仿宋_GB2312" w:eastAsia="仿宋_GB2312" w:cs="仿宋_GB2312"/>
                <w:color w:val="000000"/>
                <w:kern w:val="0"/>
                <w:sz w:val="24"/>
                <w:szCs w:val="24"/>
                <w:lang w:val="en-US" w:eastAsia="zh-CN" w:bidi="ar"/>
              </w:rPr>
            </w:pPr>
            <w:r>
              <w:rPr>
                <w:rFonts w:hint="eastAsia" w:ascii="仿宋" w:hAnsi="仿宋" w:eastAsia="仿宋" w:cs="宋体"/>
                <w:kern w:val="0"/>
                <w:szCs w:val="21"/>
                <w:lang w:val="en-US" w:eastAsia="zh-CN"/>
              </w:rPr>
              <w:t>55080052964</w:t>
            </w:r>
          </w:p>
        </w:tc>
        <w:tc>
          <w:tcPr>
            <w:tcW w:w="1555" w:type="dxa"/>
            <w:noWrap w:val="0"/>
            <w:vAlign w:val="center"/>
          </w:tcPr>
          <w:p>
            <w:pPr>
              <w:widowControl/>
              <w:adjustRightInd w:val="0"/>
              <w:snapToGrid w:val="0"/>
              <w:jc w:val="center"/>
              <w:rPr>
                <w:rFonts w:hint="eastAsia" w:ascii="仿宋" w:hAnsi="仿宋" w:eastAsia="仿宋"/>
                <w:szCs w:val="21"/>
                <w:lang w:val="en-US" w:eastAsia="zh-CN"/>
              </w:rPr>
            </w:pPr>
            <w:r>
              <w:rPr>
                <w:rFonts w:hint="eastAsia" w:ascii="仿宋" w:hAnsi="仿宋" w:eastAsia="仿宋" w:cs="宋体"/>
                <w:kern w:val="0"/>
                <w:szCs w:val="21"/>
                <w:lang w:val="en-US" w:eastAsia="zh-CN"/>
              </w:rPr>
              <w:t>是</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0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018" w:type="dxa"/>
            <w:gridSpan w:val="11"/>
            <w:noWrap w:val="0"/>
            <w:vAlign w:val="center"/>
          </w:tcPr>
          <w:p>
            <w:pPr>
              <w:pStyle w:val="3"/>
              <w:ind w:firstLine="480"/>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t>重庆众厦燃料有限责任公司拟在南川区隆化大道延伸南侧新建重庆众厦燃料有限责任公司南川区新桥加油站（以下简称：南川区新桥加油站），项目占地面积约2214m</w:t>
            </w:r>
            <w:r>
              <w:rPr>
                <w:rFonts w:hint="eastAsia" w:ascii="Times New Roman" w:hAnsi="Times New Roman" w:eastAsia="宋体" w:cs="Times New Roman"/>
                <w:kern w:val="2"/>
                <w:sz w:val="21"/>
                <w:szCs w:val="22"/>
                <w:vertAlign w:val="superscript"/>
                <w:lang w:val="en-US" w:eastAsia="zh-CN" w:bidi="ar-SA"/>
              </w:rPr>
              <w:t>2</w:t>
            </w:r>
            <w:r>
              <w:rPr>
                <w:rFonts w:hint="eastAsia" w:ascii="Times New Roman" w:hAnsi="Times New Roman" w:eastAsia="宋体" w:cs="Times New Roman"/>
                <w:kern w:val="2"/>
                <w:sz w:val="21"/>
                <w:szCs w:val="22"/>
                <w:lang w:val="en-US" w:eastAsia="zh-CN" w:bidi="ar-SA"/>
              </w:rPr>
              <w:t>，总建筑面积约609.92m</w:t>
            </w:r>
            <w:r>
              <w:rPr>
                <w:rFonts w:hint="eastAsia" w:ascii="Times New Roman" w:hAnsi="Times New Roman" w:eastAsia="宋体" w:cs="Times New Roman"/>
                <w:kern w:val="2"/>
                <w:sz w:val="21"/>
                <w:szCs w:val="22"/>
                <w:vertAlign w:val="superscript"/>
                <w:lang w:val="en-US" w:eastAsia="zh-CN" w:bidi="ar-SA"/>
              </w:rPr>
              <w:t>2</w:t>
            </w:r>
            <w:r>
              <w:rPr>
                <w:rFonts w:hint="eastAsia" w:ascii="Times New Roman" w:hAnsi="Times New Roman" w:eastAsia="宋体" w:cs="Times New Roman"/>
                <w:kern w:val="2"/>
                <w:sz w:val="21"/>
                <w:szCs w:val="22"/>
                <w:lang w:val="en-US" w:eastAsia="zh-CN" w:bidi="ar-SA"/>
              </w:rPr>
              <w:t>。站内设双层SF油罐4座（30m</w:t>
            </w:r>
            <w:r>
              <w:rPr>
                <w:rFonts w:hint="eastAsia" w:ascii="Times New Roman" w:hAnsi="Times New Roman" w:eastAsia="宋体" w:cs="Times New Roman"/>
                <w:kern w:val="2"/>
                <w:sz w:val="21"/>
                <w:szCs w:val="22"/>
                <w:vertAlign w:val="superscript"/>
                <w:lang w:val="en-US" w:eastAsia="zh-CN" w:bidi="ar-SA"/>
              </w:rPr>
              <w:t>3</w:t>
            </w:r>
            <w:r>
              <w:rPr>
                <w:rFonts w:hint="eastAsia" w:ascii="Times New Roman" w:hAnsi="Times New Roman" w:eastAsia="宋体" w:cs="Times New Roman"/>
                <w:kern w:val="2"/>
                <w:sz w:val="21"/>
                <w:szCs w:val="22"/>
                <w:lang w:val="en-US" w:eastAsia="zh-CN" w:bidi="ar-SA"/>
              </w:rPr>
              <w:t>的92#汽油罐2座、30m</w:t>
            </w:r>
            <w:r>
              <w:rPr>
                <w:rFonts w:hint="eastAsia" w:ascii="Times New Roman" w:hAnsi="Times New Roman" w:eastAsia="宋体" w:cs="Times New Roman"/>
                <w:kern w:val="2"/>
                <w:sz w:val="21"/>
                <w:szCs w:val="22"/>
                <w:vertAlign w:val="superscript"/>
                <w:lang w:val="en-US" w:eastAsia="zh-CN" w:bidi="ar-SA"/>
              </w:rPr>
              <w:t>3</w:t>
            </w:r>
            <w:r>
              <w:rPr>
                <w:rFonts w:hint="eastAsia" w:ascii="Times New Roman" w:hAnsi="Times New Roman" w:eastAsia="宋体" w:cs="Times New Roman"/>
                <w:kern w:val="2"/>
                <w:sz w:val="21"/>
                <w:szCs w:val="22"/>
                <w:lang w:val="en-US" w:eastAsia="zh-CN" w:bidi="ar-SA"/>
              </w:rPr>
              <w:t>的95#汽油罐1座、30m</w:t>
            </w:r>
            <w:r>
              <w:rPr>
                <w:rFonts w:hint="eastAsia" w:ascii="Times New Roman" w:hAnsi="Times New Roman" w:eastAsia="宋体" w:cs="Times New Roman"/>
                <w:kern w:val="2"/>
                <w:sz w:val="21"/>
                <w:szCs w:val="22"/>
                <w:vertAlign w:val="superscript"/>
                <w:lang w:val="en-US" w:eastAsia="zh-CN" w:bidi="ar-SA"/>
              </w:rPr>
              <w:t>3</w:t>
            </w:r>
            <w:r>
              <w:rPr>
                <w:rFonts w:hint="eastAsia" w:ascii="Times New Roman" w:hAnsi="Times New Roman" w:eastAsia="宋体" w:cs="Times New Roman"/>
                <w:kern w:val="2"/>
                <w:sz w:val="21"/>
                <w:szCs w:val="22"/>
                <w:lang w:val="en-US" w:eastAsia="zh-CN" w:bidi="ar-SA"/>
              </w:rPr>
              <w:t>的0#柴油罐1座），设置四台四枪加油机，属二级加油站。</w:t>
            </w:r>
          </w:p>
          <w:p>
            <w:pPr>
              <w:pStyle w:val="3"/>
              <w:rPr>
                <w:rFonts w:hint="eastAsia" w:ascii="Times New Roman" w:hAnsi="Times New Roman" w:eastAsia="宋体" w:cs="Times New Roman"/>
                <w:kern w:val="2"/>
                <w:sz w:val="21"/>
                <w:szCs w:val="22"/>
                <w:lang w:val="en-US" w:eastAsia="zh-CN" w:bidi="ar-SA"/>
              </w:rPr>
            </w:pPr>
            <w:r>
              <w:rPr>
                <w:rFonts w:hint="eastAsia" w:ascii="Times New Roman" w:hAnsi="Times New Roman" w:eastAsia="宋体" w:cs="Times New Roman"/>
                <w:kern w:val="2"/>
                <w:sz w:val="21"/>
                <w:szCs w:val="22"/>
                <w:lang w:val="en-US" w:eastAsia="zh-CN" w:bidi="ar-SA"/>
              </w:rPr>
              <w:drawing>
                <wp:inline distT="0" distB="0" distL="114300" distR="114300">
                  <wp:extent cx="4951095" cy="3712845"/>
                  <wp:effectExtent l="0" t="0" r="1905" b="1905"/>
                  <wp:docPr id="1" name="图片 1" descr="组长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组长照片"/>
                          <pic:cNvPicPr>
                            <a:picLocks noChangeAspect="1"/>
                          </pic:cNvPicPr>
                        </pic:nvPicPr>
                        <pic:blipFill>
                          <a:blip r:embed="rId4"/>
                          <a:stretch>
                            <a:fillRect/>
                          </a:stretch>
                        </pic:blipFill>
                        <pic:spPr>
                          <a:xfrm>
                            <a:off x="0" y="0"/>
                            <a:ext cx="4951095" cy="37128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30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483"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906"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693" w:type="dxa"/>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2936"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trPr>
        <w:tc>
          <w:tcPr>
            <w:tcW w:w="1300" w:type="dxa"/>
            <w:vMerge w:val="continue"/>
            <w:noWrap w:val="0"/>
            <w:vAlign w:val="center"/>
          </w:tcPr>
          <w:p>
            <w:pPr>
              <w:spacing w:line="500" w:lineRule="exact"/>
              <w:jc w:val="center"/>
              <w:rPr>
                <w:rFonts w:hint="eastAsia" w:ascii="仿宋" w:hAnsi="仿宋" w:eastAsia="仿宋"/>
                <w:szCs w:val="21"/>
              </w:rPr>
            </w:pPr>
          </w:p>
        </w:tc>
        <w:tc>
          <w:tcPr>
            <w:tcW w:w="1483"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lang w:val="en-US" w:eastAsia="zh-CN"/>
              </w:rPr>
              <w:t>刘文娟</w:t>
            </w:r>
          </w:p>
        </w:tc>
        <w:tc>
          <w:tcPr>
            <w:tcW w:w="2906" w:type="dxa"/>
            <w:gridSpan w:val="4"/>
            <w:noWrap w:val="0"/>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2020.07.28</w:t>
            </w:r>
          </w:p>
        </w:tc>
        <w:tc>
          <w:tcPr>
            <w:tcW w:w="693" w:type="dxa"/>
            <w:noWrap w:val="0"/>
            <w:vAlign w:val="center"/>
          </w:tcPr>
          <w:p>
            <w:pPr>
              <w:spacing w:line="300" w:lineRule="exact"/>
              <w:jc w:val="center"/>
              <w:rPr>
                <w:rFonts w:hint="eastAsia" w:ascii="仿宋" w:hAnsi="仿宋" w:eastAsia="仿宋"/>
                <w:szCs w:val="21"/>
              </w:rPr>
            </w:pPr>
          </w:p>
        </w:tc>
        <w:tc>
          <w:tcPr>
            <w:tcW w:w="2936" w:type="dxa"/>
            <w:gridSpan w:val="4"/>
            <w:noWrap w:val="0"/>
            <w:vAlign w:val="center"/>
          </w:tcPr>
          <w:p>
            <w:pPr>
              <w:spacing w:line="300" w:lineRule="exact"/>
              <w:jc w:val="center"/>
              <w:rPr>
                <w:rFonts w:hint="eastAsia" w:ascii="仿宋" w:hAnsi="仿宋" w:eastAsia="仿宋"/>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E118EE"/>
    <w:rsid w:val="39D36498"/>
    <w:rsid w:val="60E11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styleId="3">
    <w:name w:val="Body Text"/>
    <w:basedOn w:val="1"/>
    <w:qFormat/>
    <w:uiPriority w:val="0"/>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2020-09-07T08:51:00Z</dcterms:created>
  <dc:creator>Neuropathy.</dc:creator>
  <cp:lastModifiedBy>Neuropathy.</cp:lastModifiedBy>
  <dcterms:modified xsi:type="dcterms:W3CDTF">2020-09-15T07:56:48Z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