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551"/>
        <w:gridCol w:w="398"/>
        <w:gridCol w:w="311"/>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通渭天耀物业管理有限公司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通渭天耀物业管理有限公司西城区集中供热站安全现状评价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Mincho" w:hAnsi="MS Mincho" w:eastAsia="MS Mincho" w:cs="MS Mincho"/>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rPr>
                <w:rFonts w:ascii="仿宋" w:hAnsi="仿宋" w:eastAsia="仿宋"/>
                <w:szCs w:val="21"/>
              </w:rPr>
            </w:pPr>
            <w:r>
              <w:rPr>
                <w:rFonts w:hint="eastAsia" w:ascii="仿宋" w:hAnsi="仿宋" w:eastAsia="仿宋"/>
                <w:szCs w:val="21"/>
              </w:rPr>
              <w:t>热力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bCs/>
                <w:szCs w:val="21"/>
              </w:rPr>
            </w:pPr>
            <w:r>
              <w:rPr>
                <w:rFonts w:hint="eastAsia" w:ascii="仿宋" w:hAnsi="仿宋" w:eastAsia="仿宋"/>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2019.8</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高成关</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027733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张福海</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029147</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机电</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032574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62120125930</w:t>
            </w:r>
          </w:p>
        </w:tc>
        <w:tc>
          <w:tcPr>
            <w:tcW w:w="1663" w:type="dxa"/>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031076</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033925</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热能与动力火工</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电子技术</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020777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刘国勇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环境化学</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019234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ascii="仿宋" w:hAnsi="仿宋" w:eastAsia="仿宋" w:cs="宋体"/>
                <w:b/>
                <w:bCs/>
                <w:szCs w:val="21"/>
              </w:rPr>
            </w:pPr>
            <w:r>
              <w:rPr>
                <w:rFonts w:hint="eastAsia" w:ascii="仿宋" w:hAnsi="仿宋" w:eastAsia="仿宋" w:cs="宋体"/>
                <w:szCs w:val="21"/>
              </w:rPr>
              <w:t>通渭天耀物业管理有限公司供热站位于定西市通渭县西城区，该供热站现运行1台29 MW燃煤热水锅炉，型号为SH29-1.25/130/70-AⅡ，额定压力为1.25MPa，工作压力0.5 MPa，额定温度130℃，出口温度75℃，回流温度50℃。供热站配套的辅助设施主要为水处理间、化验室、引风机房、脱硫设施及储煤场等相关设施。</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r>
              <w:drawing>
                <wp:inline distT="0" distB="0" distL="114300" distR="114300">
                  <wp:extent cx="2883535" cy="2159635"/>
                  <wp:effectExtent l="0" t="0" r="1206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83535" cy="2159635"/>
                          </a:xfrm>
                          <a:prstGeom prst="rect">
                            <a:avLst/>
                          </a:prstGeom>
                          <a:noFill/>
                          <a:ln>
                            <a:noFill/>
                          </a:ln>
                        </pic:spPr>
                      </pic:pic>
                    </a:graphicData>
                  </a:graphic>
                </wp:inline>
              </w:drawing>
            </w:r>
          </w:p>
          <w:p>
            <w:pPr>
              <w:adjustRightInd w:val="0"/>
              <w:snapToGrid w:val="0"/>
              <w:rPr>
                <w:rFonts w:ascii="仿宋" w:hAnsi="仿宋" w:eastAsia="仿宋" w:cs="宋体"/>
                <w:szCs w:val="21"/>
              </w:rPr>
            </w:pP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952"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896"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李俊强</w:t>
            </w:r>
          </w:p>
        </w:tc>
        <w:tc>
          <w:tcPr>
            <w:tcW w:w="1952" w:type="dxa"/>
            <w:gridSpan w:val="3"/>
            <w:vAlign w:val="center"/>
          </w:tcPr>
          <w:p>
            <w:pPr>
              <w:spacing w:line="300" w:lineRule="exact"/>
              <w:jc w:val="center"/>
              <w:rPr>
                <w:rFonts w:ascii="仿宋" w:hAnsi="仿宋" w:eastAsia="仿宋"/>
                <w:szCs w:val="21"/>
              </w:rPr>
            </w:pPr>
            <w:r>
              <w:rPr>
                <w:rFonts w:hint="eastAsia" w:ascii="仿宋" w:hAnsi="仿宋" w:eastAsia="仿宋"/>
                <w:szCs w:val="21"/>
              </w:rPr>
              <w:t>2020.7.18</w:t>
            </w:r>
          </w:p>
        </w:tc>
        <w:tc>
          <w:tcPr>
            <w:tcW w:w="1896" w:type="dxa"/>
            <w:gridSpan w:val="3"/>
            <w:vMerge w:val="restart"/>
            <w:vAlign w:val="center"/>
          </w:tcPr>
          <w:p>
            <w:pPr>
              <w:spacing w:line="300" w:lineRule="exact"/>
              <w:jc w:val="center"/>
              <w:rPr>
                <w:rFonts w:ascii="仿宋" w:hAnsi="仿宋" w:eastAsia="仿宋"/>
                <w:szCs w:val="21"/>
              </w:rPr>
            </w:pPr>
            <w:r>
              <w:rPr>
                <w:rFonts w:hint="eastAsia" w:ascii="仿宋" w:hAnsi="仿宋" w:eastAsia="仿宋"/>
                <w:szCs w:val="21"/>
              </w:rPr>
              <w:t>了解项目现场实际情况，实施项目危险性分析</w:t>
            </w:r>
          </w:p>
        </w:tc>
        <w:tc>
          <w:tcPr>
            <w:tcW w:w="3138" w:type="dxa"/>
            <w:gridSpan w:val="5"/>
            <w:vMerge w:val="restart"/>
            <w:vAlign w:val="center"/>
          </w:tcPr>
          <w:p>
            <w:pPr>
              <w:spacing w:line="300" w:lineRule="exact"/>
              <w:jc w:val="center"/>
              <w:rPr>
                <w:rFonts w:ascii="仿宋" w:hAnsi="仿宋" w:eastAsia="仿宋"/>
                <w:szCs w:val="21"/>
              </w:rPr>
            </w:pPr>
            <w:r>
              <w:rPr>
                <w:rFonts w:hint="eastAsia" w:ascii="仿宋" w:hAnsi="仿宋" w:eastAsia="仿宋"/>
                <w:szCs w:val="21"/>
              </w:rPr>
              <w:t>锅炉房内的锅炉控制室、水处理间直通锅炉间的门向内开启。</w:t>
            </w:r>
          </w:p>
          <w:p>
            <w:pPr>
              <w:spacing w:line="300" w:lineRule="exact"/>
              <w:jc w:val="center"/>
              <w:rPr>
                <w:rFonts w:ascii="仿宋" w:hAnsi="仿宋" w:eastAsia="仿宋"/>
                <w:szCs w:val="21"/>
              </w:rPr>
            </w:pPr>
            <w:r>
              <w:rPr>
                <w:rFonts w:hint="eastAsia" w:ascii="仿宋" w:hAnsi="仿宋" w:eastAsia="仿宋"/>
                <w:szCs w:val="21"/>
              </w:rPr>
              <w:t>该供热站有一储气罐，为压力容器，未办理使用登记手续。</w:t>
            </w:r>
          </w:p>
          <w:p>
            <w:pPr>
              <w:spacing w:line="300" w:lineRule="exact"/>
              <w:jc w:val="center"/>
              <w:rPr>
                <w:rFonts w:ascii="仿宋" w:hAnsi="仿宋" w:eastAsia="仿宋"/>
                <w:szCs w:val="21"/>
              </w:rPr>
            </w:pPr>
            <w:r>
              <w:rPr>
                <w:rFonts w:hint="eastAsia" w:ascii="仿宋" w:hAnsi="仿宋" w:eastAsia="仿宋"/>
                <w:szCs w:val="21"/>
              </w:rPr>
              <w:t>该供热站锅炉控制室、办公室及储煤场未配备灭火器材。</w:t>
            </w:r>
          </w:p>
          <w:p>
            <w:pPr>
              <w:spacing w:line="300" w:lineRule="exact"/>
              <w:jc w:val="center"/>
              <w:rPr>
                <w:rFonts w:ascii="仿宋" w:hAnsi="仿宋" w:eastAsia="仿宋"/>
                <w:szCs w:val="21"/>
              </w:rPr>
            </w:pPr>
            <w:r>
              <w:rPr>
                <w:rFonts w:hint="eastAsia" w:ascii="仿宋" w:hAnsi="仿宋" w:eastAsia="仿宋"/>
                <w:szCs w:val="21"/>
              </w:rPr>
              <w:t>安全管理人员未取得合格证。</w:t>
            </w:r>
          </w:p>
          <w:p>
            <w:pPr>
              <w:spacing w:line="300" w:lineRule="exact"/>
              <w:jc w:val="center"/>
              <w:rPr>
                <w:rFonts w:ascii="仿宋" w:hAnsi="仿宋" w:eastAsia="仿宋"/>
                <w:szCs w:val="21"/>
              </w:rPr>
            </w:pPr>
            <w:r>
              <w:rPr>
                <w:rFonts w:hint="eastAsia" w:ascii="仿宋" w:hAnsi="仿宋" w:eastAsia="仿宋"/>
                <w:szCs w:val="21"/>
              </w:rPr>
              <w:t>该企业应急预案未向安全生产监督管理部门和有关部门进行告知性备案。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p>
        </w:tc>
        <w:tc>
          <w:tcPr>
            <w:tcW w:w="1952" w:type="dxa"/>
            <w:gridSpan w:val="3"/>
            <w:vAlign w:val="center"/>
          </w:tcPr>
          <w:p>
            <w:pPr>
              <w:spacing w:line="300" w:lineRule="exact"/>
              <w:jc w:val="center"/>
              <w:rPr>
                <w:rFonts w:ascii="仿宋" w:hAnsi="仿宋" w:eastAsia="仿宋"/>
                <w:szCs w:val="21"/>
              </w:rPr>
            </w:pPr>
          </w:p>
        </w:tc>
        <w:tc>
          <w:tcPr>
            <w:tcW w:w="1896" w:type="dxa"/>
            <w:gridSpan w:val="3"/>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D3BFF"/>
    <w:rsid w:val="675D3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2021-08-03T08:41:00Z</dcterms:created>
  <dc:creator>雷楠</dc:creator>
  <cp:lastModifiedBy>雷楠</cp:lastModifiedBy>
  <dcterms:modified xsi:type="dcterms:W3CDTF">2021-08-03T08:42:44Z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