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460" w:lineRule="exact"/>
              <w:jc w:val="center"/>
              <w:rPr>
                <w:rFonts w:ascii="仿宋" w:hAnsi="仿宋" w:eastAsia="仿宋"/>
                <w:szCs w:val="21"/>
              </w:rPr>
            </w:pPr>
            <w:r>
              <w:rPr>
                <w:rFonts w:ascii="仿宋" w:hAnsi="仿宋" w:eastAsia="仿宋"/>
                <w:szCs w:val="21"/>
              </w:rPr>
              <w:t>陇西县文峰初级中学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ind w:right="159"/>
              <w:rPr>
                <w:rFonts w:ascii="仿宋" w:hAnsi="仿宋" w:eastAsia="仿宋"/>
                <w:bCs/>
                <w:szCs w:val="21"/>
              </w:rPr>
            </w:pPr>
            <w:r>
              <w:rPr>
                <w:rFonts w:hint="eastAsia" w:ascii="仿宋" w:hAnsi="仿宋" w:eastAsia="仿宋"/>
                <w:szCs w:val="21"/>
              </w:rPr>
              <w:t>陇西县文峰镇九年制学校建设项目污水管道与兰成渝输油管道交叉处施工专项安全评价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hint="eastAsia" w:ascii="MS Mincho" w:hAnsi="MS Mincho" w:eastAsia="MS Mincho" w:cs="MS Mincho"/>
                <w:szCs w:val="21"/>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460" w:lineRule="exact"/>
              <w:jc w:val="center"/>
              <w:rPr>
                <w:rFonts w:ascii="仿宋" w:hAnsi="仿宋" w:eastAsia="仿宋"/>
                <w:szCs w:val="21"/>
              </w:rPr>
            </w:pPr>
            <w:r>
              <w:rPr>
                <w:rFonts w:hint="eastAsia" w:ascii="仿宋" w:hAnsi="仿宋" w:eastAsia="仿宋" w:cs="宋体"/>
                <w:kern w:val="0"/>
                <w:szCs w:val="21"/>
              </w:rPr>
              <w:t>白建明</w:t>
            </w:r>
          </w:p>
        </w:tc>
        <w:tc>
          <w:tcPr>
            <w:tcW w:w="2710" w:type="dxa"/>
            <w:gridSpan w:val="6"/>
            <w:vAlign w:val="center"/>
          </w:tcPr>
          <w:p>
            <w:pPr>
              <w:spacing w:line="46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46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46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460" w:lineRule="exact"/>
              <w:jc w:val="center"/>
              <w:rPr>
                <w:rFonts w:ascii="仿宋" w:hAnsi="仿宋" w:eastAsia="仿宋"/>
                <w:szCs w:val="21"/>
              </w:rPr>
            </w:pPr>
            <w:r>
              <w:rPr>
                <w:rFonts w:hint="eastAsia" w:ascii="仿宋" w:hAnsi="仿宋" w:eastAsia="仿宋"/>
                <w:szCs w:val="21"/>
              </w:rPr>
              <w:t>2020年8月</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刘菊梅</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1500000000100202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张福海</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爆炸</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1600000000301632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易安柯</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管道运输业</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S011053000110193002441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雷 楠</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S011053000110193002251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宋体" w:hAnsi="宋体"/>
                <w:sz w:val="24"/>
              </w:rPr>
            </w:pPr>
            <w:r>
              <w:rPr>
                <w:rFonts w:hint="eastAsia" w:ascii="仿宋" w:hAnsi="仿宋" w:eastAsia="仿宋" w:cs="宋体"/>
                <w:kern w:val="0"/>
                <w:szCs w:val="21"/>
              </w:rPr>
              <w:t>刘文娟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1700000000201153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化学工程与工艺</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1800000000301632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1500000000100116</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8"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
                <w:bCs/>
                <w:szCs w:val="21"/>
              </w:rPr>
            </w:pPr>
            <w:r>
              <w:rPr>
                <w:rFonts w:hint="eastAsia" w:ascii="仿宋" w:hAnsi="仿宋" w:eastAsia="仿宋"/>
                <w:szCs w:val="21"/>
              </w:rPr>
              <w:t>文峰镇九年制学校所有卫生间及食堂等部位的污水，经化粪池处理后需排至校外市政污水管网中（污水井号：A15）。在连接市政管网时，该项目污水管道与兰州—成都—重庆成品油输送管道（以下简称兰成渝输油管道）产生1处交叉。下穿兰成渝输油管道（桩号：K197+800），污水管道与兰成渝油管道交叉角度为73°，穿越处兰成渝输油管道埋深3.5m（管中）。</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3"/>
              <w:rPr>
                <w:rFonts w:ascii="仿宋" w:hAnsi="仿宋" w:eastAsia="仿宋" w:cs="宋体"/>
                <w:szCs w:val="21"/>
              </w:rPr>
            </w:pPr>
            <w:r>
              <w:rPr>
                <w:rFonts w:ascii="仿宋" w:hAnsi="仿宋" w:eastAsia="仿宋" w:cs="宋体"/>
                <w:szCs w:val="21"/>
              </w:rPr>
              <w:drawing>
                <wp:anchor distT="0" distB="0" distL="114300" distR="114300" simplePos="0" relativeHeight="251658240" behindDoc="0" locked="0" layoutInCell="1" allowOverlap="1">
                  <wp:simplePos x="0" y="0"/>
                  <wp:positionH relativeFrom="column">
                    <wp:posOffset>-13970</wp:posOffset>
                  </wp:positionH>
                  <wp:positionV relativeFrom="paragraph">
                    <wp:posOffset>90170</wp:posOffset>
                  </wp:positionV>
                  <wp:extent cx="5271135" cy="4023360"/>
                  <wp:effectExtent l="0" t="0" r="5715" b="1524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1135" cy="4023360"/>
                          </a:xfrm>
                          <a:prstGeom prst="rect">
                            <a:avLst/>
                          </a:prstGeom>
                        </pic:spPr>
                      </pic:pic>
                    </a:graphicData>
                  </a:graphic>
                </wp:anchor>
              </w:drawing>
            </w:r>
          </w:p>
          <w:p>
            <w:pPr>
              <w:pStyle w:val="3"/>
              <w:rPr>
                <w:rFonts w:ascii="仿宋" w:hAnsi="仿宋" w:eastAsia="仿宋" w:cs="宋体"/>
                <w:szCs w:val="21"/>
              </w:rPr>
            </w:pPr>
          </w:p>
          <w:p>
            <w:pPr>
              <w:pStyle w:val="3"/>
              <w:rPr>
                <w:rFonts w:ascii="仿宋" w:hAnsi="仿宋" w:eastAsia="仿宋" w:cs="宋体"/>
                <w:szCs w:val="21"/>
              </w:rPr>
            </w:pPr>
          </w:p>
          <w:p>
            <w:pPr>
              <w:pStyle w:val="3"/>
              <w:rPr>
                <w:rFonts w:ascii="仿宋" w:hAnsi="仿宋" w:eastAsia="仿宋" w:cs="宋体"/>
                <w:szCs w:val="21"/>
              </w:rPr>
            </w:pPr>
          </w:p>
          <w:p>
            <w:pPr>
              <w:adjustRightInd w:val="0"/>
              <w:snapToGrid w:val="0"/>
              <w:rPr>
                <w:rFonts w:ascii="仿宋" w:hAnsi="仿宋" w:eastAsia="仿宋" w:cs="宋体"/>
                <w:szCs w:val="21"/>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firstLine="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460" w:lineRule="exact"/>
              <w:jc w:val="center"/>
              <w:rPr>
                <w:rFonts w:ascii="仿宋" w:hAnsi="仿宋" w:eastAsia="仿宋"/>
                <w:szCs w:val="21"/>
              </w:rPr>
            </w:pPr>
            <w:r>
              <w:rPr>
                <w:rFonts w:hint="eastAsia" w:ascii="仿宋" w:hAnsi="仿宋" w:eastAsia="仿宋" w:cs="宋体"/>
                <w:kern w:val="0"/>
                <w:szCs w:val="21"/>
              </w:rPr>
              <w:t>白建明</w:t>
            </w:r>
          </w:p>
        </w:tc>
        <w:tc>
          <w:tcPr>
            <w:tcW w:w="2622" w:type="dxa"/>
            <w:gridSpan w:val="4"/>
            <w:vMerge w:val="restart"/>
            <w:vAlign w:val="center"/>
          </w:tcPr>
          <w:p>
            <w:pPr>
              <w:spacing w:line="460" w:lineRule="exact"/>
              <w:jc w:val="center"/>
              <w:rPr>
                <w:rFonts w:ascii="仿宋" w:hAnsi="仿宋" w:eastAsia="仿宋"/>
                <w:szCs w:val="21"/>
              </w:rPr>
            </w:pPr>
            <w:r>
              <w:rPr>
                <w:rFonts w:ascii="仿宋" w:hAnsi="仿宋" w:eastAsia="仿宋"/>
                <w:szCs w:val="21"/>
              </w:rPr>
              <w:t>2020.</w:t>
            </w:r>
            <w:r>
              <w:rPr>
                <w:rFonts w:hint="eastAsia" w:ascii="仿宋" w:hAnsi="仿宋" w:eastAsia="仿宋"/>
                <w:szCs w:val="21"/>
              </w:rPr>
              <w:t>7</w:t>
            </w:r>
            <w:r>
              <w:rPr>
                <w:rFonts w:ascii="仿宋" w:hAnsi="仿宋" w:eastAsia="仿宋"/>
                <w:szCs w:val="21"/>
              </w:rPr>
              <w:t>.</w:t>
            </w:r>
            <w:r>
              <w:rPr>
                <w:rFonts w:hint="eastAsia" w:ascii="仿宋" w:hAnsi="仿宋" w:eastAsia="仿宋"/>
                <w:szCs w:val="21"/>
              </w:rPr>
              <w:t>31</w:t>
            </w:r>
          </w:p>
        </w:tc>
        <w:tc>
          <w:tcPr>
            <w:tcW w:w="1226" w:type="dxa"/>
            <w:gridSpan w:val="2"/>
            <w:vMerge w:val="restart"/>
            <w:vAlign w:val="center"/>
          </w:tcPr>
          <w:p>
            <w:pPr>
              <w:spacing w:line="460" w:lineRule="exact"/>
              <w:jc w:val="center"/>
              <w:rPr>
                <w:rFonts w:ascii="仿宋" w:hAnsi="仿宋" w:eastAsia="仿宋"/>
                <w:szCs w:val="21"/>
              </w:rPr>
            </w:pPr>
            <w:r>
              <w:rPr>
                <w:rFonts w:hint="eastAsia" w:ascii="仿宋" w:hAnsi="仿宋" w:eastAsia="仿宋"/>
                <w:szCs w:val="21"/>
              </w:rPr>
              <w:t>管道交叉处输油管道埋深、交叉角度，桩号</w:t>
            </w:r>
            <w:r>
              <w:rPr>
                <w:rFonts w:ascii="仿宋" w:hAnsi="仿宋" w:eastAsia="仿宋"/>
                <w:szCs w:val="21"/>
              </w:rPr>
              <w:t>情况</w:t>
            </w:r>
          </w:p>
        </w:tc>
        <w:tc>
          <w:tcPr>
            <w:tcW w:w="3138" w:type="dxa"/>
            <w:gridSpan w:val="5"/>
            <w:vMerge w:val="restart"/>
            <w:vAlign w:val="center"/>
          </w:tcPr>
          <w:p>
            <w:pPr>
              <w:spacing w:line="460" w:lineRule="exact"/>
              <w:ind w:right="159"/>
              <w:jc w:val="left"/>
              <w:rPr>
                <w:rFonts w:ascii="仿宋" w:hAnsi="仿宋" w:eastAsia="仿宋"/>
                <w:szCs w:val="21"/>
              </w:rPr>
            </w:pPr>
            <w:r>
              <w:rPr>
                <w:rFonts w:hint="eastAsia" w:ascii="仿宋" w:hAnsi="仿宋" w:eastAsia="仿宋"/>
                <w:szCs w:val="21"/>
              </w:rPr>
              <w:t>交叉处施工施工便道未进行防护。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9356F1"/>
    <w:rsid w:val="4D935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2021-08-03T06:20:00Z</dcterms:created>
  <dc:creator>雷楠</dc:creator>
  <cp:lastModifiedBy>雷楠</cp:lastModifiedBy>
  <dcterms:modified xsi:type="dcterms:W3CDTF">2021-08-03T06:20:21Z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