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GoBack"/>
      <w:bookmarkEnd w:id="0"/>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武山县水利发展有限公司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引洮供水二期配套武山县城乡供水工程供水管道与兰成渝、兰成输油管道及陇西支线输气管道交叉、并行施工项目专项安全评估报告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□现状评价    □验收评价    </w:t>
            </w:r>
            <w:r>
              <w:rPr>
                <w:rFonts w:ascii="Segoe UI Symbol" w:hAnsi="Segoe UI Symbol" w:eastAsia="仿宋" w:cs="Segoe UI Symbol"/>
                <w:szCs w:val="21"/>
              </w:rPr>
              <w:t>☑</w:t>
            </w:r>
            <w:r>
              <w:rPr>
                <w:rFonts w:hint="eastAsia" w:ascii="仿宋" w:hAnsi="仿宋" w:eastAsia="仿宋"/>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管道运输</w:t>
            </w:r>
            <w:r>
              <w:rPr>
                <w:rFonts w:ascii="仿宋" w:hAnsi="仿宋" w:eastAsia="仿宋"/>
                <w:szCs w:val="21"/>
              </w:rPr>
              <w:t>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白建明</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赵长军</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w:t>
            </w:r>
            <w:r>
              <w:rPr>
                <w:rFonts w:ascii="仿宋" w:hAnsi="仿宋" w:eastAsia="仿宋"/>
                <w:szCs w:val="21"/>
              </w:rPr>
              <w:t>02</w:t>
            </w:r>
            <w:r>
              <w:rPr>
                <w:rFonts w:hint="eastAsia" w:ascii="仿宋" w:hAnsi="仿宋" w:eastAsia="仿宋"/>
                <w:szCs w:val="21"/>
              </w:rPr>
              <w:t>1</w:t>
            </w:r>
            <w:r>
              <w:rPr>
                <w:rFonts w:ascii="仿宋" w:hAnsi="仿宋" w:eastAsia="仿宋"/>
                <w:szCs w:val="21"/>
              </w:rPr>
              <w:t>.</w:t>
            </w:r>
            <w:r>
              <w:rPr>
                <w:rFonts w:hint="eastAsia" w:ascii="仿宋" w:hAnsi="仿宋" w:eastAsia="仿宋"/>
                <w:szCs w:val="21"/>
              </w:rPr>
              <w:t>0</w:t>
            </w:r>
            <w:r>
              <w:rPr>
                <w:rFonts w:ascii="仿宋" w:hAnsi="仿宋" w:eastAsia="仿宋"/>
                <w:szCs w:val="21"/>
              </w:rPr>
              <w:t>2</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白建明</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w:t>
            </w:r>
            <w:r>
              <w:rPr>
                <w:rFonts w:ascii="仿宋" w:hAnsi="仿宋" w:eastAsia="仿宋" w:cs="宋体"/>
                <w:kern w:val="0"/>
                <w:szCs w:val="21"/>
              </w:rPr>
              <w:t>0000000201198</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62120125930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田祖伟</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w:t>
            </w:r>
            <w:r>
              <w:rPr>
                <w:rFonts w:ascii="仿宋" w:hAnsi="仿宋" w:eastAsia="仿宋" w:cs="宋体"/>
                <w:kern w:val="0"/>
                <w:szCs w:val="21"/>
              </w:rPr>
              <w:t>700000000301781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55180193956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刘菊梅</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采油</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1500000000100202</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55080052961</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易安柯</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储运</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S011053000110193002441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雷 </w:t>
            </w:r>
            <w:r>
              <w:rPr>
                <w:rFonts w:ascii="仿宋" w:hAnsi="仿宋" w:eastAsia="仿宋" w:cs="宋体"/>
                <w:kern w:val="0"/>
                <w:szCs w:val="21"/>
              </w:rPr>
              <w:t xml:space="preserve"> </w:t>
            </w:r>
            <w:r>
              <w:rPr>
                <w:rFonts w:hint="eastAsia" w:ascii="仿宋" w:hAnsi="仿宋" w:eastAsia="仿宋" w:cs="宋体"/>
                <w:kern w:val="0"/>
                <w:szCs w:val="21"/>
              </w:rPr>
              <w:t>楠</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储运</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S011053000110193002251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赵长军</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w:t>
            </w:r>
            <w:r>
              <w:rPr>
                <w:rFonts w:ascii="仿宋" w:hAnsi="仿宋" w:eastAsia="仿宋" w:cs="宋体"/>
                <w:kern w:val="0"/>
                <w:szCs w:val="21"/>
              </w:rPr>
              <w:t>工艺</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w:t>
            </w:r>
            <w:r>
              <w:rPr>
                <w:rFonts w:ascii="仿宋" w:hAnsi="仿宋" w:eastAsia="仿宋" w:cs="宋体"/>
                <w:kern w:val="0"/>
                <w:szCs w:val="21"/>
              </w:rPr>
              <w:t>0000000030</w:t>
            </w:r>
            <w:r>
              <w:rPr>
                <w:rFonts w:hint="eastAsia" w:ascii="仿宋" w:hAnsi="仿宋" w:eastAsia="仿宋" w:cs="宋体"/>
                <w:kern w:val="0"/>
                <w:szCs w:val="21"/>
              </w:rPr>
              <w:t>0031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w:t>
            </w:r>
            <w:r>
              <w:rPr>
                <w:rFonts w:ascii="仿宋" w:hAnsi="仿宋" w:eastAsia="仿宋" w:cs="宋体"/>
                <w:kern w:val="0"/>
                <w:szCs w:val="21"/>
              </w:rPr>
              <w:t>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冯皓</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w:t>
            </w:r>
            <w:r>
              <w:rPr>
                <w:rFonts w:ascii="仿宋" w:hAnsi="仿宋" w:eastAsia="仿宋" w:cs="宋体"/>
                <w:kern w:val="0"/>
                <w:szCs w:val="21"/>
              </w:rPr>
              <w:t>600000000201291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陈美宝</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冶金、化工机械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1500000000100116</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55090076429</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rPr>
                <w:rFonts w:ascii="仿宋" w:hAnsi="仿宋" w:eastAsia="仿宋" w:cs="宋体"/>
                <w:bCs/>
                <w:szCs w:val="21"/>
              </w:rPr>
            </w:pPr>
            <w:r>
              <w:rPr>
                <w:rFonts w:hint="eastAsia" w:ascii="仿宋" w:hAnsi="仿宋" w:eastAsia="仿宋" w:cs="宋体"/>
                <w:bCs/>
                <w:szCs w:val="21"/>
              </w:rPr>
              <w:t>2016年12月30日，由甘肃省发展和改革委员会以甘发改农经【2016】1146号文对《甘肃省引洮供水二期配套城乡供水工程可行性研究报告》进行了批复。根据批复的可研报告成果及审批意见，引洮二期配套武山县城乡供水工程主要建设内容为：新建调蓄水池1座，调蓄容积30万m3；新建水厂1座，日处理能力1.2万m3；输水管线2条，分别为邓家山供水管网长12.31km，设计流量0.02m3/s；杜家塄供水管网长25.94km，引水流量分上段（水厂至苏家岔）和下段（苏家岔至杜家塄），上段设计流量0.15m3/s，下段设计流量0.11m3/s；新建高位水池3座（容积3000m</w:t>
            </w:r>
            <w:r>
              <w:rPr>
                <w:rFonts w:hint="eastAsia" w:ascii="宋体" w:hAnsi="宋体" w:cs="宋体"/>
                <w:bCs/>
                <w:szCs w:val="21"/>
              </w:rPr>
              <w:t>³</w:t>
            </w:r>
            <w:r>
              <w:rPr>
                <w:rFonts w:hint="eastAsia" w:ascii="仿宋" w:hAnsi="仿宋" w:eastAsia="仿宋" w:cs="仿宋"/>
                <w:bCs/>
                <w:szCs w:val="21"/>
              </w:rPr>
              <w:t>）；供水管线设加压泵站</w:t>
            </w:r>
            <w:r>
              <w:rPr>
                <w:rFonts w:hint="eastAsia" w:ascii="仿宋" w:hAnsi="仿宋" w:eastAsia="仿宋" w:cs="宋体"/>
                <w:bCs/>
                <w:szCs w:val="21"/>
              </w:rPr>
              <w:t>4座等。引洮供水二期配套武山县城乡供水工程供水管道沿线与兰成输油管道存在8处交叉、1处并行，与兰成渝输油管道存在1处交叉，与陇西支线输气管道存在10交叉、2处并行。</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ascii="仿宋" w:hAnsi="仿宋" w:eastAsia="仿宋" w:cs="宋体"/>
                <w:szCs w:val="21"/>
              </w:rPr>
            </w:pPr>
            <w:r>
              <w:rPr>
                <w:rFonts w:ascii="仿宋" w:hAnsi="仿宋" w:eastAsia="仿宋" w:cs="宋体"/>
                <w:szCs w:val="21"/>
              </w:rPr>
              <w:drawing>
                <wp:inline distT="0" distB="0" distL="0" distR="0">
                  <wp:extent cx="3490595" cy="2618740"/>
                  <wp:effectExtent l="0" t="0" r="14605" b="10160"/>
                  <wp:docPr id="2" name="图片 2" descr="G:\2021报告\2021.2.1武山县水利局\引洮供水二期配套武山县城乡供水工程供水管道与兰成渝、兰成输油管道、陇西支线交叉、并行施工项目专项安全评估\5.现场照片\1.2交叉点（中贵线）\IMG_02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G:\2021报告\2021.2.1武山县水利局\引洮供水二期配套武山县城乡供水工程供水管道与兰成渝、兰成输油管道、陇西支线交叉、并行施工项目专项安全评估\5.现场照片\1.2交叉点（中贵线）\IMG_0214.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3496066" cy="2623091"/>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赵长军</w:t>
            </w:r>
          </w:p>
        </w:tc>
        <w:tc>
          <w:tcPr>
            <w:tcW w:w="2622" w:type="dxa"/>
            <w:gridSpan w:val="4"/>
            <w:vMerge w:val="restart"/>
            <w:vAlign w:val="center"/>
          </w:tcPr>
          <w:p>
            <w:pPr>
              <w:spacing w:line="300" w:lineRule="exact"/>
              <w:jc w:val="center"/>
              <w:rPr>
                <w:rFonts w:ascii="仿宋" w:hAnsi="仿宋" w:eastAsia="仿宋"/>
                <w:szCs w:val="21"/>
              </w:rPr>
            </w:pPr>
            <w:r>
              <w:rPr>
                <w:rFonts w:hint="eastAsia" w:ascii="仿宋" w:hAnsi="仿宋" w:eastAsia="仿宋"/>
                <w:szCs w:val="21"/>
              </w:rPr>
              <w:t>20</w:t>
            </w:r>
            <w:r>
              <w:rPr>
                <w:rFonts w:ascii="仿宋" w:hAnsi="仿宋" w:eastAsia="仿宋"/>
                <w:szCs w:val="21"/>
              </w:rPr>
              <w:t>2</w:t>
            </w:r>
            <w:r>
              <w:rPr>
                <w:rFonts w:hint="eastAsia" w:ascii="仿宋" w:hAnsi="仿宋" w:eastAsia="仿宋"/>
                <w:szCs w:val="21"/>
              </w:rPr>
              <w:t>1</w:t>
            </w:r>
            <w:r>
              <w:rPr>
                <w:rFonts w:ascii="仿宋" w:hAnsi="仿宋" w:eastAsia="仿宋"/>
                <w:szCs w:val="21"/>
              </w:rPr>
              <w:t>.0</w:t>
            </w:r>
            <w:r>
              <w:rPr>
                <w:rFonts w:hint="eastAsia" w:ascii="仿宋" w:hAnsi="仿宋" w:eastAsia="仿宋"/>
                <w:szCs w:val="21"/>
              </w:rPr>
              <w:t>2</w:t>
            </w:r>
            <w:r>
              <w:rPr>
                <w:rFonts w:ascii="仿宋" w:hAnsi="仿宋" w:eastAsia="仿宋"/>
                <w:szCs w:val="21"/>
              </w:rPr>
              <w:t>.</w:t>
            </w:r>
            <w:r>
              <w:rPr>
                <w:rFonts w:hint="eastAsia" w:ascii="仿宋" w:hAnsi="仿宋" w:eastAsia="仿宋"/>
                <w:szCs w:val="21"/>
              </w:rPr>
              <w:t>04</w:t>
            </w:r>
          </w:p>
        </w:tc>
        <w:tc>
          <w:tcPr>
            <w:tcW w:w="1226" w:type="dxa"/>
            <w:gridSpan w:val="2"/>
            <w:vMerge w:val="restart"/>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Merge w:val="restart"/>
            <w:vAlign w:val="center"/>
          </w:tcPr>
          <w:p>
            <w:pPr>
              <w:spacing w:line="3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白建民</w:t>
            </w:r>
          </w:p>
        </w:tc>
        <w:tc>
          <w:tcPr>
            <w:tcW w:w="2622" w:type="dxa"/>
            <w:gridSpan w:val="4"/>
            <w:vMerge w:val="continue"/>
            <w:vAlign w:val="center"/>
          </w:tcPr>
          <w:p>
            <w:pPr>
              <w:spacing w:line="300" w:lineRule="exact"/>
              <w:jc w:val="center"/>
              <w:rPr>
                <w:rFonts w:ascii="仿宋" w:hAnsi="仿宋" w:eastAsia="仿宋"/>
                <w:b/>
                <w:szCs w:val="21"/>
              </w:rPr>
            </w:pPr>
          </w:p>
        </w:tc>
        <w:tc>
          <w:tcPr>
            <w:tcW w:w="1226" w:type="dxa"/>
            <w:gridSpan w:val="2"/>
            <w:vMerge w:val="continue"/>
            <w:vAlign w:val="center"/>
          </w:tcPr>
          <w:p>
            <w:pPr>
              <w:spacing w:line="300" w:lineRule="exact"/>
              <w:jc w:val="center"/>
              <w:rPr>
                <w:rFonts w:ascii="仿宋" w:hAnsi="仿宋" w:eastAsia="仿宋"/>
                <w:b/>
                <w:szCs w:val="21"/>
              </w:rPr>
            </w:pPr>
          </w:p>
        </w:tc>
        <w:tc>
          <w:tcPr>
            <w:tcW w:w="3138" w:type="dxa"/>
            <w:gridSpan w:val="5"/>
            <w:vMerge w:val="continue"/>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036636"/>
    <w:rsid w:val="660366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2021-08-04T00:55:00Z</dcterms:created>
  <dc:creator>雷楠</dc:creator>
  <cp:lastModifiedBy>雷楠</cp:lastModifiedBy>
  <dcterms:modified xsi:type="dcterms:W3CDTF">2021-08-04T00:56:23Z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