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17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APJ-（渝）-</w:t>
            </w:r>
            <w:r>
              <w:rPr>
                <w:rFonts w:ascii="仿宋_GB2312" w:eastAsia="仿宋_GB2312"/>
                <w:sz w:val="24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b/>
                <w:sz w:val="44"/>
                <w:szCs w:val="44"/>
              </w:rPr>
            </w:pPr>
            <w:r>
              <w:rPr>
                <w:rFonts w:hint="eastAsia" w:ascii="仿宋" w:hAnsi="仿宋" w:eastAsia="仿宋"/>
                <w:szCs w:val="21"/>
              </w:rPr>
              <w:t>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" w:hAnsi="仿宋" w:eastAsia="仿宋"/>
                <w:szCs w:val="21"/>
              </w:rPr>
              <w:t>遂宁磨溪联合站至遂化站（南坝站）管线安全隐患治理工程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□预评价   □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 xml:space="preserve">现状评价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■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 w:val="28"/>
                <w:szCs w:val="28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640" w:firstLineChars="1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第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一 </w:t>
            </w:r>
            <w:r>
              <w:rPr>
                <w:rFonts w:hint="eastAsia" w:ascii="仿宋_GB2312" w:hAnsi="宋体" w:eastAsia="仿宋_GB2312"/>
                <w:sz w:val="24"/>
              </w:rPr>
              <w:t xml:space="preserve">类 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唐波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  <w:r>
              <w:rPr>
                <w:rFonts w:ascii="仿宋_GB2312" w:eastAsia="仿宋_GB2312"/>
                <w:sz w:val="24"/>
              </w:rPr>
              <w:t>20</w:t>
            </w:r>
            <w:r>
              <w:rPr>
                <w:rFonts w:hint="eastAsia" w:ascii="仿宋_GB2312" w:eastAsia="仿宋_GB2312"/>
                <w:sz w:val="24"/>
              </w:rPr>
              <w:t>.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11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蔡治勇 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认定专业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35894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 w:val="24"/>
              </w:rPr>
              <w:t>019244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0</w:t>
            </w:r>
            <w:r>
              <w:rPr>
                <w:rFonts w:ascii="宋体" w:hAnsi="宋体"/>
                <w:kern w:val="0"/>
                <w:sz w:val="24"/>
              </w:rPr>
              <w:t>35553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石油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0303718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20783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热能与动力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冶金、机械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项目名称：</w:t>
            </w:r>
            <w:r>
              <w:rPr>
                <w:rFonts w:hint="eastAsia" w:ascii="仿宋" w:hAnsi="仿宋" w:eastAsia="仿宋"/>
                <w:szCs w:val="21"/>
              </w:rPr>
              <w:t>遂宁磨溪联合站至遂化站（南坝站）管线安全隐患治理工程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设计输气量15×10</w:t>
            </w:r>
            <w:r>
              <w:rPr>
                <w:rFonts w:ascii="Arial" w:hAnsi="Arial" w:cs="Arial"/>
                <w:vertAlign w:val="superscript"/>
              </w:rPr>
              <w:t>4</w:t>
            </w:r>
            <w:r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  <w:vertAlign w:val="superscript"/>
              </w:rPr>
              <w:t>3</w:t>
            </w:r>
            <w:r>
              <w:rPr>
                <w:rFonts w:ascii="Arial" w:hAnsi="Arial" w:cs="Arial"/>
              </w:rPr>
              <w:t>/d</w:t>
            </w:r>
          </w:p>
          <w:p>
            <w:pPr>
              <w:rPr>
                <w:rFonts w:hint="eastAsia" w:ascii="Arial" w:hAnsi="Arial" w:cs="Arial" w:eastAsiaTheme="minorEastAsia"/>
                <w:lang w:eastAsia="zh-CN"/>
              </w:rPr>
            </w:pPr>
            <w:r>
              <w:rPr>
                <w:rFonts w:hint="eastAsia" w:ascii="Arial" w:hAnsi="Arial" w:cs="Arial" w:eastAsiaTheme="minorEastAsia"/>
                <w:lang w:eastAsia="zh-CN"/>
              </w:rPr>
              <w:drawing>
                <wp:inline distT="0" distB="0" distL="114300" distR="114300">
                  <wp:extent cx="2571115" cy="3428365"/>
                  <wp:effectExtent l="0" t="0" r="635" b="635"/>
                  <wp:docPr id="1" name="图片 1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115" cy="3428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勘察时间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勘查任务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2020.5.14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pStyle w:val="4"/>
              <w:spacing w:line="300" w:lineRule="exact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现场周边环境满足要求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9B6643"/>
    <w:rsid w:val="6C9B6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2021-08-18T07:40:00Z</dcterms:created>
  <dc:creator>雷楠</dc:creator>
  <cp:lastModifiedBy>雷楠</cp:lastModifiedBy>
  <dcterms:modified xsi:type="dcterms:W3CDTF">2021-08-18T07:40:48Z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