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bookmarkStart w:id="0" w:name="_Toc16246"/>
      <w:r>
        <w:rPr>
          <w:rFonts w:hint="eastAsia" w:ascii="仿宋" w:hAnsi="仿宋" w:eastAsia="仿宋"/>
          <w:b/>
          <w:sz w:val="28"/>
          <w:szCs w:val="28"/>
        </w:rPr>
        <w:t>《安全评价报告信息公布表》</w:t>
      </w:r>
      <w:bookmarkEnd w:id="0"/>
    </w:p>
    <w:tbl>
      <w:tblPr>
        <w:tblStyle w:val="3"/>
        <w:tblW w:w="99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9"/>
        <w:gridCol w:w="677"/>
        <w:gridCol w:w="908"/>
        <w:gridCol w:w="588"/>
        <w:gridCol w:w="813"/>
        <w:gridCol w:w="949"/>
        <w:gridCol w:w="271"/>
        <w:gridCol w:w="39"/>
        <w:gridCol w:w="1186"/>
        <w:gridCol w:w="101"/>
        <w:gridCol w:w="163"/>
        <w:gridCol w:w="718"/>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35" w:type="dxa"/>
            <w:gridSpan w:val="5"/>
            <w:noWrap w:val="0"/>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7"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7"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rPr>
              <w:t>APJ-（</w:t>
            </w:r>
            <w:r>
              <w:rPr>
                <w:rFonts w:hint="eastAsia" w:ascii="仿宋" w:hAnsi="仿宋" w:eastAsia="仿宋"/>
                <w:szCs w:val="21"/>
                <w:lang w:eastAsia="zh-CN"/>
              </w:rPr>
              <w:t>渝</w:t>
            </w:r>
            <w:r>
              <w:rPr>
                <w:rFonts w:hint="eastAsia" w:ascii="仿宋" w:hAnsi="仿宋" w:eastAsia="仿宋"/>
                <w:szCs w:val="21"/>
              </w:rPr>
              <w:t>）-</w:t>
            </w:r>
            <w:r>
              <w:rPr>
                <w:rFonts w:hint="eastAsia" w:ascii="仿宋" w:hAnsi="仿宋" w:eastAsia="仿宋"/>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69" w:type="dxa"/>
            <w:gridSpan w:val="13"/>
            <w:noWrap w:val="0"/>
            <w:vAlign w:val="center"/>
          </w:tcPr>
          <w:p>
            <w:pPr>
              <w:spacing w:line="500" w:lineRule="exact"/>
              <w:jc w:val="center"/>
              <w:rPr>
                <w:rFonts w:hint="eastAsia" w:ascii="仿宋" w:hAnsi="仿宋" w:eastAsia="仿宋"/>
                <w:szCs w:val="21"/>
                <w:lang w:eastAsia="zh-CN"/>
              </w:rPr>
            </w:pPr>
            <w:r>
              <w:rPr>
                <w:rFonts w:hint="eastAsia" w:eastAsia="仿宋"/>
                <w:lang w:eastAsia="zh-CN"/>
              </w:rPr>
              <w:t>中国石油天然气股份有限公司重庆永川销售分公司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69" w:type="dxa"/>
            <w:gridSpan w:val="13"/>
            <w:noWrap w:val="0"/>
            <w:vAlign w:val="center"/>
          </w:tcPr>
          <w:p>
            <w:pPr>
              <w:spacing w:line="500" w:lineRule="exact"/>
              <w:jc w:val="center"/>
              <w:rPr>
                <w:rFonts w:ascii="仿宋" w:hAnsi="仿宋" w:eastAsia="仿宋"/>
                <w:bCs/>
                <w:szCs w:val="21"/>
              </w:rPr>
            </w:pPr>
            <w:r>
              <w:rPr>
                <w:rFonts w:hint="eastAsia" w:ascii="仿宋" w:hAnsi="仿宋" w:eastAsia="仿宋"/>
                <w:color w:val="auto"/>
                <w:szCs w:val="21"/>
                <w:lang w:val="en-US" w:eastAsia="zh-CN"/>
              </w:rPr>
              <w:t>中国石油天然气股份有限公司重庆永川销售分公司金盆加油站安全现状评价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69" w:type="dxa"/>
            <w:gridSpan w:val="13"/>
            <w:noWrap w:val="0"/>
            <w:vAlign w:val="center"/>
          </w:tcPr>
          <w:p>
            <w:pPr>
              <w:spacing w:line="500" w:lineRule="exact"/>
              <w:jc w:val="center"/>
              <w:rPr>
                <w:rFonts w:ascii="仿宋" w:hAnsi="仿宋" w:eastAsia="仿宋"/>
                <w:szCs w:val="21"/>
              </w:rPr>
            </w:pPr>
            <w:r>
              <w:rPr>
                <w:rFonts w:hint="eastAsia" w:ascii="仿宋" w:hAnsi="仿宋" w:eastAsia="仿宋"/>
                <w:szCs w:val="21"/>
              </w:rPr>
              <w:t>□预评价   ■现状评价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066" w:type="dxa"/>
            <w:gridSpan w:val="2"/>
            <w:noWrap w:val="0"/>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92" w:type="dxa"/>
            <w:gridSpan w:val="12"/>
            <w:noWrap w:val="0"/>
            <w:vAlign w:val="top"/>
          </w:tcPr>
          <w:p>
            <w:pPr>
              <w:spacing w:line="400" w:lineRule="exact"/>
              <w:ind w:firstLine="2310" w:firstLineChars="1100"/>
              <w:rPr>
                <w:rFonts w:ascii="仿宋" w:hAnsi="仿宋" w:eastAsia="仿宋"/>
                <w:szCs w:val="21"/>
              </w:rPr>
            </w:pPr>
            <w:r>
              <w:rPr>
                <w:rFonts w:hint="eastAsia" w:ascii="仿宋" w:hAnsi="仿宋" w:eastAsia="仿宋"/>
                <w:szCs w:val="21"/>
              </w:rPr>
              <w:t>汽油、柴油经营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958" w:type="dxa"/>
            <w:gridSpan w:val="14"/>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6"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09" w:type="dxa"/>
            <w:gridSpan w:val="6"/>
            <w:noWrap w:val="0"/>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74"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b/>
                <w:szCs w:val="21"/>
              </w:rPr>
            </w:pPr>
          </w:p>
        </w:tc>
        <w:tc>
          <w:tcPr>
            <w:tcW w:w="2986"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李伟</w:t>
            </w:r>
          </w:p>
        </w:tc>
        <w:tc>
          <w:tcPr>
            <w:tcW w:w="2709" w:type="dxa"/>
            <w:gridSpan w:val="6"/>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刘国勇</w:t>
            </w:r>
          </w:p>
        </w:tc>
        <w:tc>
          <w:tcPr>
            <w:tcW w:w="2874"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73"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72"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8"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6" w:type="dxa"/>
            <w:gridSpan w:val="2"/>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b/>
                <w:szCs w:val="21"/>
              </w:rPr>
            </w:pPr>
          </w:p>
        </w:tc>
        <w:tc>
          <w:tcPr>
            <w:tcW w:w="2173"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李伟</w:t>
            </w:r>
          </w:p>
        </w:tc>
        <w:tc>
          <w:tcPr>
            <w:tcW w:w="2072"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2021.7</w:t>
            </w:r>
          </w:p>
        </w:tc>
        <w:tc>
          <w:tcPr>
            <w:tcW w:w="2168"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蔡治勇</w:t>
            </w:r>
          </w:p>
        </w:tc>
        <w:tc>
          <w:tcPr>
            <w:tcW w:w="2156" w:type="dxa"/>
            <w:gridSpan w:val="2"/>
            <w:noWrap w:val="0"/>
            <w:vAlign w:val="center"/>
          </w:tcPr>
          <w:p>
            <w:pPr>
              <w:spacing w:line="500" w:lineRule="exact"/>
              <w:jc w:val="center"/>
              <w:rPr>
                <w:rFonts w:ascii="仿宋" w:hAnsi="仿宋" w:eastAsia="仿宋"/>
                <w:szCs w:val="21"/>
              </w:rPr>
            </w:pPr>
            <w:r>
              <w:rPr>
                <w:rFonts w:hint="eastAsia" w:ascii="仿宋" w:hAnsi="仿宋" w:eastAsia="仿宋"/>
                <w:szCs w:val="21"/>
                <w:lang w:eastAsia="zh-CN"/>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5" w:type="dxa"/>
            <w:gridSpan w:val="2"/>
            <w:noWrap w:val="0"/>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60"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61"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63" w:type="dxa"/>
            <w:noWrap w:val="0"/>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李 伟</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机械专业相关内容</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1800000000201223</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王 梅</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电气工程及其自动化</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S011053000110191001147</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55090076425</w:t>
            </w:r>
          </w:p>
        </w:tc>
        <w:tc>
          <w:tcPr>
            <w:tcW w:w="1663" w:type="dxa"/>
            <w:noWrap w:val="0"/>
            <w:vAlign w:val="center"/>
          </w:tcPr>
          <w:p>
            <w:pPr>
              <w:adjustRightInd w:val="0"/>
              <w:snapToGrid w:val="0"/>
              <w:jc w:val="center"/>
              <w:rPr>
                <w:rFonts w:hint="eastAsia" w:ascii="宋体" w:hAnsi="宋体" w:eastAsia="宋体" w:cs="宋体"/>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张圣菊</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color w:val="000000" w:themeColor="text1"/>
                <w:kern w:val="0"/>
                <w:sz w:val="18"/>
                <w:szCs w:val="18"/>
                <w14:textFill>
                  <w14:solidFill>
                    <w14:schemeClr w14:val="tx1"/>
                  </w14:solidFill>
                </w14:textFill>
              </w:rPr>
              <w:t>化工工艺</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S011053000110192003084</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37150168124</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田祖伟</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安全</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1700000000301781</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55180193956</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eastAsia="zh-CN"/>
              </w:rPr>
              <w:t>张郑平</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电气</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S011053000110192003137</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何文勋</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安全</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S011053000110193002272</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刘文娟</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自动化（仪表）</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1700000000201153</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55140156484</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雷楠</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储运、油气储运</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S011053000110193002251</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lang w:val="en-US" w:eastAsia="zh-CN"/>
              </w:rPr>
            </w:pPr>
            <w:r>
              <w:rPr>
                <w:rFonts w:hint="eastAsia" w:ascii="宋体" w:hAnsi="宋体" w:eastAsia="宋体" w:cs="宋体"/>
                <w:b/>
                <w:sz w:val="18"/>
                <w:szCs w:val="18"/>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林 波</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化学工艺与工程</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S011053000110192002987</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55190209531</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唐 波</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过程装备与控制工程</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S011053000110192003004</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刘国勇</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化工工艺</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1800000000100099</w:t>
            </w:r>
          </w:p>
        </w:tc>
        <w:tc>
          <w:tcPr>
            <w:tcW w:w="2661" w:type="dxa"/>
            <w:gridSpan w:val="5"/>
            <w:noWrap w:val="0"/>
            <w:vAlign w:val="top"/>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55060013805</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eastAsia="zh-CN"/>
              </w:rPr>
              <w:t>冯</w:t>
            </w:r>
            <w:r>
              <w:rPr>
                <w:rFonts w:hint="eastAsia" w:ascii="宋体" w:hAnsi="宋体" w:eastAsia="宋体" w:cs="宋体"/>
                <w:kern w:val="0"/>
                <w:sz w:val="18"/>
                <w:szCs w:val="18"/>
                <w:lang w:val="en-US" w:eastAsia="zh-CN"/>
              </w:rPr>
              <w:t xml:space="preserve"> </w:t>
            </w:r>
            <w:r>
              <w:rPr>
                <w:rFonts w:hint="eastAsia" w:ascii="宋体" w:hAnsi="宋体" w:eastAsia="宋体" w:cs="宋体"/>
                <w:kern w:val="0"/>
                <w:sz w:val="18"/>
                <w:szCs w:val="18"/>
                <w:lang w:eastAsia="zh-CN"/>
              </w:rPr>
              <w:t>皓</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机械、化工机械</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1600000000201291</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55130140330</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蔡治勇</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火炸药、安全</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0800000000102949</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55080052964</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trPr>
        <w:tc>
          <w:tcPr>
            <w:tcW w:w="1389" w:type="dxa"/>
            <w:noWrap w:val="0"/>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69" w:type="dxa"/>
            <w:gridSpan w:val="13"/>
            <w:noWrap w:val="0"/>
            <w:vAlign w:val="center"/>
          </w:tcPr>
          <w:p>
            <w:pPr>
              <w:keepNext w:val="0"/>
              <w:keepLines w:val="0"/>
              <w:pageBreakBefore w:val="0"/>
              <w:widowControl w:val="0"/>
              <w:kinsoku/>
              <w:wordWrap/>
              <w:overflowPunct/>
              <w:topLinePunct w:val="0"/>
              <w:autoSpaceDE/>
              <w:autoSpaceDN/>
              <w:bidi w:val="0"/>
              <w:adjustRightInd w:val="0"/>
              <w:snapToGrid w:val="0"/>
              <w:jc w:val="left"/>
              <w:textAlignment w:val="auto"/>
              <w:rPr>
                <w:rFonts w:hint="eastAsia"/>
              </w:rPr>
            </w:pPr>
            <w:r>
              <w:rPr>
                <w:rFonts w:hint="eastAsia"/>
              </w:rPr>
              <w:t>中国石油天然气股份有限公司重庆永川销售分公司</w:t>
            </w:r>
            <w:r>
              <w:rPr>
                <w:rFonts w:hint="eastAsia"/>
                <w:lang w:eastAsia="zh-CN"/>
              </w:rPr>
              <w:t>金盆加油站</w:t>
            </w:r>
            <w:r>
              <w:rPr>
                <w:rFonts w:hint="eastAsia"/>
              </w:rPr>
              <w:t>（以下简称：</w:t>
            </w:r>
            <w:r>
              <w:rPr>
                <w:rFonts w:hint="eastAsia"/>
                <w:lang w:eastAsia="zh-CN"/>
              </w:rPr>
              <w:t>金盆加油站</w:t>
            </w:r>
            <w:r>
              <w:rPr>
                <w:rFonts w:hint="eastAsia"/>
              </w:rPr>
              <w:t>），位于</w:t>
            </w:r>
            <w:r>
              <w:rPr>
                <w:rFonts w:hint="eastAsia"/>
                <w:lang w:eastAsia="zh-CN"/>
              </w:rPr>
              <w:t>重庆市永川区南大街办事处横河二社</w:t>
            </w:r>
            <w:r>
              <w:rPr>
                <w:rFonts w:hint="eastAsia"/>
              </w:rPr>
              <w:t>，占地面积</w:t>
            </w:r>
            <w:r>
              <w:rPr>
                <w:rFonts w:hint="eastAsia"/>
                <w:lang w:eastAsia="zh-CN"/>
              </w:rPr>
              <w:t>2453</w:t>
            </w:r>
            <w:r>
              <w:rPr>
                <w:rFonts w:hint="eastAsia"/>
              </w:rPr>
              <w:t>m2，建筑面积</w:t>
            </w:r>
            <w:r>
              <w:rPr>
                <w:rFonts w:hint="eastAsia"/>
                <w:lang w:eastAsia="zh-CN"/>
              </w:rPr>
              <w:t>458</w:t>
            </w:r>
            <w:r>
              <w:rPr>
                <w:rFonts w:hint="eastAsia"/>
              </w:rPr>
              <w:t>m2，站内设1个</w:t>
            </w:r>
            <w:r>
              <w:rPr>
                <w:rFonts w:hint="eastAsia"/>
                <w:lang w:val="en-US" w:eastAsia="zh-CN"/>
              </w:rPr>
              <w:t>3</w:t>
            </w:r>
            <w:r>
              <w:rPr>
                <w:rFonts w:hint="eastAsia"/>
              </w:rPr>
              <w:t>0m3的0#柴油罐、1个30m3的92#汽油罐、1个</w:t>
            </w:r>
            <w:r>
              <w:rPr>
                <w:rFonts w:hint="eastAsia"/>
                <w:lang w:val="en-US" w:eastAsia="zh-CN"/>
              </w:rPr>
              <w:t>2</w:t>
            </w:r>
            <w:r>
              <w:rPr>
                <w:rFonts w:hint="eastAsia"/>
              </w:rPr>
              <w:t>0m3的92#汽油罐</w:t>
            </w:r>
            <w:r>
              <w:rPr>
                <w:rFonts w:hint="eastAsia"/>
                <w:lang w:eastAsia="zh-CN"/>
              </w:rPr>
              <w:t>、</w:t>
            </w:r>
            <w:r>
              <w:rPr>
                <w:rFonts w:hint="eastAsia"/>
              </w:rPr>
              <w:t>1个</w:t>
            </w:r>
            <w:r>
              <w:rPr>
                <w:rFonts w:hint="eastAsia"/>
                <w:lang w:val="en-US" w:eastAsia="zh-CN"/>
              </w:rPr>
              <w:t>25</w:t>
            </w:r>
            <w:r>
              <w:rPr>
                <w:rFonts w:hint="eastAsia"/>
              </w:rPr>
              <w:t>m3的95#汽油罐，</w:t>
            </w:r>
            <w:r>
              <w:rPr>
                <w:rFonts w:hint="eastAsia"/>
                <w:lang w:val="en-US" w:eastAsia="zh-CN"/>
              </w:rPr>
              <w:t>2</w:t>
            </w:r>
            <w:r>
              <w:rPr>
                <w:rFonts w:hint="eastAsia"/>
              </w:rPr>
              <w:t>台四枪加油机</w:t>
            </w:r>
            <w:r>
              <w:rPr>
                <w:rFonts w:hint="eastAsia"/>
                <w:lang w:eastAsia="zh-CN"/>
              </w:rPr>
              <w:t>、</w:t>
            </w:r>
            <w:r>
              <w:rPr>
                <w:rFonts w:hint="eastAsia"/>
                <w:lang w:val="en-US" w:eastAsia="zh-CN"/>
              </w:rPr>
              <w:t>2台双枪加油机</w:t>
            </w:r>
            <w:r>
              <w:rPr>
                <w:rFonts w:hint="eastAsia"/>
              </w:rPr>
              <w:t>，属于三级加油站，主要经营9</w:t>
            </w:r>
            <w:r>
              <w:rPr>
                <w:rFonts w:hint="eastAsia"/>
                <w:lang w:val="en-US" w:eastAsia="zh-CN"/>
              </w:rPr>
              <w:t>2</w:t>
            </w:r>
            <w:r>
              <w:rPr>
                <w:rFonts w:hint="eastAsia"/>
              </w:rPr>
              <w:t>#</w:t>
            </w:r>
            <w:r>
              <w:rPr>
                <w:rFonts w:hint="eastAsia"/>
                <w:lang w:eastAsia="zh-CN"/>
              </w:rPr>
              <w:t>、</w:t>
            </w:r>
            <w:r>
              <w:rPr>
                <w:rFonts w:hint="eastAsia"/>
                <w:lang w:val="en-US" w:eastAsia="zh-CN"/>
              </w:rPr>
              <w:t>95#</w:t>
            </w:r>
            <w:r>
              <w:rPr>
                <w:rFonts w:hint="eastAsia"/>
              </w:rPr>
              <w:t>汽油</w:t>
            </w:r>
            <w:r>
              <w:rPr>
                <w:rFonts w:hint="eastAsia"/>
                <w:lang w:val="en-US" w:eastAsia="zh-CN"/>
              </w:rPr>
              <w:t>和</w:t>
            </w:r>
            <w:r>
              <w:rPr>
                <w:rFonts w:hint="eastAsia"/>
              </w:rPr>
              <w:t>0#柴油。</w:t>
            </w:r>
          </w:p>
          <w:p>
            <w:pPr>
              <w:pStyle w:val="2"/>
              <w:ind w:left="0" w:leftChars="0" w:firstLine="0" w:firstLineChars="0"/>
              <w:rPr>
                <w:rFonts w:hint="eastAsia" w:eastAsia="仿宋"/>
                <w:lang w:eastAsia="zh-CN"/>
              </w:rPr>
            </w:pPr>
            <w:r>
              <w:rPr>
                <w:rFonts w:hint="eastAsia" w:eastAsia="仿宋"/>
                <w:lang w:eastAsia="zh-CN"/>
              </w:rPr>
              <w:drawing>
                <wp:inline distT="0" distB="0" distL="114300" distR="114300">
                  <wp:extent cx="5303520" cy="3977640"/>
                  <wp:effectExtent l="0" t="0" r="11430" b="3810"/>
                  <wp:docPr id="1" name="图片 1" descr="lADPD4BhtoErDtXNA8DNBQA_1280_9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lADPD4BhtoErDtXNA8DNBQA_1280_960"/>
                          <pic:cNvPicPr>
                            <a:picLocks noChangeAspect="1"/>
                          </pic:cNvPicPr>
                        </pic:nvPicPr>
                        <pic:blipFill>
                          <a:blip r:embed="rId4"/>
                          <a:stretch>
                            <a:fillRect/>
                          </a:stretch>
                        </pic:blipFill>
                        <pic:spPr>
                          <a:xfrm>
                            <a:off x="0" y="0"/>
                            <a:ext cx="5303520" cy="397764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restart"/>
            <w:noWrap w:val="0"/>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5"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21" w:type="dxa"/>
            <w:gridSpan w:val="4"/>
            <w:noWrap w:val="0"/>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5"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8" w:type="dxa"/>
            <w:gridSpan w:val="5"/>
            <w:noWrap w:val="0"/>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szCs w:val="21"/>
              </w:rPr>
            </w:pPr>
          </w:p>
        </w:tc>
        <w:tc>
          <w:tcPr>
            <w:tcW w:w="1585"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val="en-US" w:eastAsia="zh-CN"/>
              </w:rPr>
              <w:t>李伟</w:t>
            </w:r>
          </w:p>
        </w:tc>
        <w:tc>
          <w:tcPr>
            <w:tcW w:w="2621" w:type="dxa"/>
            <w:gridSpan w:val="4"/>
            <w:noWrap w:val="0"/>
            <w:vAlign w:val="center"/>
          </w:tcPr>
          <w:p>
            <w:pPr>
              <w:spacing w:line="300" w:lineRule="exact"/>
              <w:jc w:val="center"/>
              <w:rPr>
                <w:rFonts w:hint="default" w:ascii="仿宋" w:hAnsi="仿宋" w:eastAsia="仿宋"/>
                <w:szCs w:val="21"/>
                <w:lang w:val="en-US" w:eastAsia="zh-CN"/>
              </w:rPr>
            </w:pPr>
            <w:r>
              <w:rPr>
                <w:rFonts w:hint="eastAsia" w:ascii="仿宋" w:hAnsi="仿宋" w:eastAsia="仿宋"/>
                <w:szCs w:val="21"/>
              </w:rPr>
              <w:t>202</w:t>
            </w:r>
            <w:r>
              <w:rPr>
                <w:rFonts w:hint="eastAsia" w:ascii="仿宋" w:hAnsi="仿宋" w:eastAsia="仿宋"/>
                <w:szCs w:val="21"/>
                <w:lang w:val="en-US" w:eastAsia="zh-CN"/>
              </w:rPr>
              <w:t>1</w:t>
            </w:r>
            <w:r>
              <w:rPr>
                <w:rFonts w:hint="eastAsia" w:ascii="仿宋" w:hAnsi="仿宋" w:eastAsia="仿宋"/>
                <w:szCs w:val="21"/>
              </w:rPr>
              <w:t>.</w:t>
            </w:r>
            <w:r>
              <w:rPr>
                <w:rFonts w:hint="eastAsia" w:ascii="仿宋" w:hAnsi="仿宋" w:eastAsia="仿宋"/>
                <w:szCs w:val="21"/>
                <w:lang w:val="en-US" w:eastAsia="zh-CN"/>
              </w:rPr>
              <w:t>6</w:t>
            </w:r>
            <w:r>
              <w:rPr>
                <w:rFonts w:hint="eastAsia" w:ascii="仿宋" w:hAnsi="仿宋" w:eastAsia="仿宋"/>
                <w:szCs w:val="21"/>
              </w:rPr>
              <w:t>.</w:t>
            </w:r>
            <w:r>
              <w:rPr>
                <w:rFonts w:hint="eastAsia" w:ascii="仿宋" w:hAnsi="仿宋" w:eastAsia="仿宋"/>
                <w:szCs w:val="21"/>
                <w:lang w:val="en-US" w:eastAsia="zh-CN"/>
              </w:rPr>
              <w:t>10</w:t>
            </w:r>
          </w:p>
        </w:tc>
        <w:tc>
          <w:tcPr>
            <w:tcW w:w="1225" w:type="dxa"/>
            <w:gridSpan w:val="2"/>
            <w:noWrap w:val="0"/>
            <w:vAlign w:val="center"/>
          </w:tcPr>
          <w:p>
            <w:pPr>
              <w:spacing w:line="300" w:lineRule="exact"/>
              <w:jc w:val="center"/>
              <w:rPr>
                <w:rFonts w:ascii="仿宋" w:hAnsi="仿宋" w:eastAsia="仿宋"/>
                <w:szCs w:val="21"/>
              </w:rPr>
            </w:pPr>
          </w:p>
        </w:tc>
        <w:tc>
          <w:tcPr>
            <w:tcW w:w="3138" w:type="dxa"/>
            <w:gridSpan w:val="5"/>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eastAsia="zh-CN"/>
              </w:rPr>
              <w:t>见报告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b/>
                <w:szCs w:val="21"/>
              </w:rPr>
            </w:pPr>
          </w:p>
        </w:tc>
        <w:tc>
          <w:tcPr>
            <w:tcW w:w="1585" w:type="dxa"/>
            <w:gridSpan w:val="2"/>
            <w:noWrap w:val="0"/>
            <w:vAlign w:val="center"/>
          </w:tcPr>
          <w:p>
            <w:pPr>
              <w:spacing w:line="300" w:lineRule="exact"/>
              <w:jc w:val="center"/>
              <w:rPr>
                <w:rFonts w:ascii="仿宋" w:hAnsi="仿宋" w:eastAsia="仿宋"/>
                <w:b/>
                <w:szCs w:val="21"/>
              </w:rPr>
            </w:pPr>
          </w:p>
        </w:tc>
        <w:tc>
          <w:tcPr>
            <w:tcW w:w="2621" w:type="dxa"/>
            <w:gridSpan w:val="4"/>
            <w:noWrap w:val="0"/>
            <w:vAlign w:val="center"/>
          </w:tcPr>
          <w:p>
            <w:pPr>
              <w:spacing w:line="300" w:lineRule="exact"/>
              <w:jc w:val="center"/>
              <w:rPr>
                <w:rFonts w:ascii="仿宋" w:hAnsi="仿宋" w:eastAsia="仿宋"/>
                <w:b/>
                <w:szCs w:val="21"/>
              </w:rPr>
            </w:pPr>
          </w:p>
        </w:tc>
        <w:tc>
          <w:tcPr>
            <w:tcW w:w="1225" w:type="dxa"/>
            <w:gridSpan w:val="2"/>
            <w:noWrap w:val="0"/>
            <w:vAlign w:val="center"/>
          </w:tcPr>
          <w:p>
            <w:pPr>
              <w:spacing w:line="300" w:lineRule="exact"/>
              <w:jc w:val="center"/>
              <w:rPr>
                <w:rFonts w:ascii="仿宋" w:hAnsi="仿宋" w:eastAsia="仿宋"/>
                <w:b/>
                <w:szCs w:val="21"/>
              </w:rPr>
            </w:pPr>
          </w:p>
        </w:tc>
        <w:tc>
          <w:tcPr>
            <w:tcW w:w="3138" w:type="dxa"/>
            <w:gridSpan w:val="5"/>
            <w:noWrap w:val="0"/>
            <w:vAlign w:val="center"/>
          </w:tcPr>
          <w:p>
            <w:pPr>
              <w:spacing w:line="300" w:lineRule="exact"/>
              <w:jc w:val="center"/>
              <w:rPr>
                <w:rFonts w:ascii="仿宋" w:hAnsi="仿宋" w:eastAsia="仿宋"/>
                <w:b/>
                <w:szCs w:val="21"/>
              </w:rPr>
            </w:pPr>
          </w:p>
        </w:tc>
      </w:tr>
    </w:tbl>
    <w:p>
      <w:bookmarkStart w:id="1" w:name="_GoBack"/>
      <w:bookmarkEnd w:id="1"/>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80"/>
    <w:family w:val="swiss"/>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57A5CDE"/>
    <w:rsid w:val="057A5CD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Indent"/>
    <w:basedOn w:val="1"/>
    <w:qFormat/>
    <w:uiPriority w:val="0"/>
    <w:pPr>
      <w:spacing w:line="360" w:lineRule="auto"/>
      <w:ind w:firstLine="397"/>
    </w:pPr>
    <w:rPr>
      <w:sz w:val="24"/>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2021-08-18T07:07:00Z</dcterms:created>
  <dc:creator>雷楠</dc:creator>
  <cp:lastModifiedBy>雷楠</cp:lastModifiedBy>
  <dcterms:modified xsi:type="dcterms:W3CDTF">2021-08-18T07:07:55Z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