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中国航油集团贵州石油有限公司麻江慢坡加油站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  <w:lang w:val="en-US" w:eastAsia="zh-CN"/>
              </w:rPr>
              <w:t>中国航油集团贵州石油有限公司麻江慢坡加油站安全现状评价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席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刚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冯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1"/>
                <w:szCs w:val="21"/>
                <w:lang w:eastAsia="zh-CN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席  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lang w:eastAsia="zh-CN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欧中锴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031212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王永辉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  <w:lang w:eastAsia="zh-CN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吴红玉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auto"/>
                <w:lang w:eastAsia="zh-CN"/>
              </w:rPr>
              <w:t>采矿工程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220" w:lineRule="atLeast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034149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019234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冯  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机械、化工机械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color w:val="auto"/>
                <w:sz w:val="21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szCs w:val="22"/>
                <w:lang w:eastAsia="zh-CN"/>
              </w:rPr>
            </w:pPr>
            <w:r>
              <w:rPr>
                <w:rFonts w:hint="default" w:ascii="仿宋" w:hAnsi="仿宋" w:eastAsia="仿宋" w:cs="Times New Roman"/>
                <w:color w:val="auto"/>
                <w:szCs w:val="22"/>
                <w:lang w:val="en-US" w:eastAsia="zh-CN"/>
              </w:rPr>
              <w:t>火炸药、安全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jc w:val="center"/>
              <w:rPr>
                <w:rFonts w:hint="default" w:ascii="仿宋_GB2312" w:hAnsi="宋体" w:eastAsia="仿宋_GB2312" w:cs="宋体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eastAsia="宋体" w:cs="Arial"/>
                <w:sz w:val="21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</w:tcPr>
          <w:p>
            <w:pPr>
              <w:ind w:firstLine="420" w:firstLineChars="200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中国航油集团贵州石油有限公司麻江慢坡加油站（以下简称麻江慢坡加油站）位于黔东南州麻江县杏山镇杏山变电站东侧，法定代表人：杨小波，主要经营0#柴油、92#汽油、95#汽油的对外加油及储存。</w:t>
            </w:r>
          </w:p>
          <w:p>
            <w:pPr>
              <w:ind w:firstLine="420" w:firstLineChars="200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麻江慢坡加油站占地总面积：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2003.5</w:t>
            </w:r>
            <w:r>
              <w:rPr>
                <w:rFonts w:hint="eastAsia" w:ascii="仿宋" w:hAnsi="仿宋" w:eastAsia="仿宋" w:cs="仿宋"/>
                <w:lang w:eastAsia="zh-CN"/>
              </w:rPr>
              <w:t>m</w:t>
            </w:r>
            <w:r>
              <w:rPr>
                <w:rFonts w:hint="eastAsia" w:ascii="仿宋" w:hAnsi="仿宋" w:eastAsia="仿宋" w:cs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；总建筑面积为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487.52</w:t>
            </w:r>
            <w:r>
              <w:rPr>
                <w:rFonts w:hint="eastAsia" w:ascii="仿宋" w:hAnsi="仿宋" w:eastAsia="仿宋" w:cs="仿宋"/>
                <w:lang w:eastAsia="zh-CN"/>
              </w:rPr>
              <w:t>m</w:t>
            </w:r>
            <w:r>
              <w:rPr>
                <w:rFonts w:hint="eastAsia" w:ascii="仿宋" w:hAnsi="仿宋" w:eastAsia="仿宋" w:cs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，其中站房建筑面积：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214.52</w:t>
            </w:r>
            <w:r>
              <w:rPr>
                <w:rFonts w:hint="eastAsia" w:ascii="仿宋" w:hAnsi="仿宋" w:eastAsia="仿宋" w:cs="仿宋"/>
                <w:lang w:eastAsia="zh-CN"/>
              </w:rPr>
              <w:t>m</w:t>
            </w:r>
            <w:r>
              <w:rPr>
                <w:rFonts w:hint="eastAsia" w:ascii="仿宋" w:hAnsi="仿宋" w:eastAsia="仿宋" w:cs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（砖混结构，二层，含开票间、办公室、休息室和配电间）；加油罩棚面积（钢网架结构）：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546</w:t>
            </w:r>
            <w:r>
              <w:rPr>
                <w:rFonts w:hint="eastAsia" w:ascii="仿宋" w:hAnsi="仿宋" w:eastAsia="仿宋" w:cs="仿宋"/>
                <w:lang w:eastAsia="zh-CN"/>
              </w:rPr>
              <w:t>m</w:t>
            </w:r>
            <w:r>
              <w:rPr>
                <w:rFonts w:hint="eastAsia" w:ascii="仿宋" w:hAnsi="仿宋" w:eastAsia="仿宋" w:cs="仿宋"/>
                <w:vertAlign w:val="superscript"/>
                <w:lang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；设有车道数：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lang w:eastAsia="zh-CN"/>
              </w:rPr>
              <w:t xml:space="preserve"> 个；安装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lang w:eastAsia="zh-CN"/>
              </w:rPr>
              <w:t>台双枪加油机，设有4个地埋 SF 双层罐（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lang w:eastAsia="zh-CN"/>
              </w:rPr>
              <w:t>个0#柴油罐，单罐容积为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lang w:eastAsia="zh-CN"/>
              </w:rPr>
              <w:t>0m³，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个92#汽油罐，单罐容积为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lang w:eastAsia="zh-CN"/>
              </w:rPr>
              <w:t>0m³，1个95#汽油罐，单罐容积为 40m³），总容积为140m³，柴油折半计算后加油站总容积为1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lang w:eastAsia="zh-CN"/>
              </w:rPr>
              <w:t>0m³，属于二级加油站。</w:t>
            </w: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</w:p>
          <w:p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现场勘查照片：</w:t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 w:themeColor="text1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5322570" cy="7002780"/>
                  <wp:effectExtent l="0" t="0" r="11430" b="7620"/>
                  <wp:docPr id="3" name="图片 1" descr="IMG_8306(20210325-012010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" descr="IMG_8306(20210325-012010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22570" cy="7002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2"/>
              <w:ind w:left="0" w:leftChars="0" w:firstLine="0" w:firstLineChars="0"/>
              <w:rPr>
                <w:rFonts w:hint="eastAsia" w:ascii="仿宋" w:hAnsi="仿宋" w:eastAsia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Arial" w:hAnsi="Arial" w:eastAsia="宋体" w:cs="Arial"/>
                <w:color w:val="000000" w:themeColor="text1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114300" distR="114300">
                  <wp:extent cx="5313045" cy="6128385"/>
                  <wp:effectExtent l="0" t="0" r="1905" b="5715"/>
                  <wp:docPr id="4" name="图片 2" descr="IMG_8309(20210325-01250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2" descr="IMG_8309(20210325-012503)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3045" cy="6128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席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numPr>
                <w:ilvl w:val="0"/>
                <w:numId w:val="1"/>
              </w:numPr>
              <w:spacing w:line="300" w:lineRule="exact"/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应急物资清单与现场存在的物资不相符；</w:t>
            </w:r>
          </w:p>
          <w:p>
            <w:pPr>
              <w:pStyle w:val="3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2、液位报警仪不能正常使用；</w:t>
            </w:r>
          </w:p>
          <w:p>
            <w:pPr>
              <w:pStyle w:val="4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3、发电机防烫护网设置高低较低，</w:t>
            </w:r>
          </w:p>
          <w:p>
            <w:pPr>
              <w:pStyle w:val="4"/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4、站内雨水沟和集油沟未及时清理。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欧中锴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eastAsia="zh-CN"/>
              </w:rPr>
              <w:t>现场指导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eastAsia="zh-CN"/>
              </w:rPr>
              <w:t>吴红玉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2021.3.24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both"/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Cs w:val="21"/>
                <w:lang w:val="en-US" w:eastAsia="zh-CN"/>
              </w:rPr>
              <w:t>现场记录，报告编制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043E18"/>
    <w:multiLevelType w:val="singleLevel"/>
    <w:tmpl w:val="56043E1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4428D"/>
    <w:rsid w:val="4A544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2021-08-18T06:58:00Z</dcterms:created>
  <dc:creator>雷楠</dc:creator>
  <cp:lastModifiedBy>雷楠</cp:lastModifiedBy>
  <dcterms:modified xsi:type="dcterms:W3CDTF">2021-08-18T06:58:44Z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