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临洮县霖轩建材厂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hint="eastAsia" w:ascii="仿宋" w:hAnsi="仿宋" w:eastAsia="仿宋"/>
                <w:bCs/>
                <w:szCs w:val="21"/>
                <w:lang w:eastAsia="zh-CN"/>
              </w:rPr>
            </w:pPr>
            <w:r>
              <w:rPr>
                <w:rFonts w:hint="eastAsia" w:ascii="仿宋" w:hAnsi="仿宋" w:eastAsia="仿宋"/>
                <w:szCs w:val="21"/>
                <w:lang w:eastAsia="zh-CN"/>
              </w:rPr>
              <w:t>临洮县连儿湾乡三源村建筑用花岗岩矿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Segoe UI Symbol" w:hAnsi="Segoe UI Symbol" w:eastAsia="仿宋" w:cs="Segoe UI Symbol"/>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hint="eastAsia" w:ascii="仿宋" w:hAnsi="仿宋" w:eastAsia="仿宋"/>
                <w:szCs w:val="21"/>
                <w:lang w:eastAsia="zh-CN"/>
              </w:rPr>
            </w:pPr>
            <w:r>
              <w:rPr>
                <w:rFonts w:hint="eastAsia" w:ascii="仿宋" w:hAnsi="仿宋" w:eastAsia="仿宋"/>
                <w:szCs w:val="21"/>
                <w:lang w:eastAsia="zh-CN"/>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李全文</w:t>
            </w:r>
          </w:p>
        </w:tc>
        <w:tc>
          <w:tcPr>
            <w:tcW w:w="2710" w:type="dxa"/>
            <w:gridSpan w:val="6"/>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唐元杰</w:t>
            </w:r>
          </w:p>
        </w:tc>
        <w:tc>
          <w:tcPr>
            <w:tcW w:w="2875"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王颜龙、白建明</w:t>
            </w:r>
          </w:p>
        </w:tc>
        <w:tc>
          <w:tcPr>
            <w:tcW w:w="2073"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2</w:t>
            </w:r>
            <w:r>
              <w:rPr>
                <w:rFonts w:ascii="仿宋" w:hAnsi="仿宋" w:eastAsia="仿宋"/>
                <w:szCs w:val="21"/>
              </w:rPr>
              <w:t>02</w:t>
            </w:r>
            <w:r>
              <w:rPr>
                <w:rFonts w:hint="eastAsia" w:ascii="仿宋" w:hAnsi="仿宋" w:eastAsia="仿宋"/>
                <w:szCs w:val="21"/>
                <w:lang w:val="en-US" w:eastAsia="zh-CN"/>
              </w:rPr>
              <w:t>1</w:t>
            </w:r>
            <w:r>
              <w:rPr>
                <w:rFonts w:ascii="仿宋" w:hAnsi="仿宋" w:eastAsia="仿宋"/>
                <w:szCs w:val="21"/>
              </w:rPr>
              <w:t>.</w:t>
            </w:r>
            <w:r>
              <w:rPr>
                <w:rFonts w:hint="eastAsia" w:ascii="仿宋" w:hAnsi="仿宋" w:eastAsia="仿宋"/>
                <w:szCs w:val="21"/>
                <w:lang w:val="en-US" w:eastAsia="zh-CN"/>
              </w:rPr>
              <w:t>8</w:t>
            </w:r>
          </w:p>
        </w:tc>
        <w:tc>
          <w:tcPr>
            <w:tcW w:w="2169"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蔡治勇</w:t>
            </w:r>
          </w:p>
        </w:tc>
        <w:tc>
          <w:tcPr>
            <w:tcW w:w="2156" w:type="dxa"/>
            <w:gridSpan w:val="2"/>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李全文</w:t>
            </w:r>
          </w:p>
        </w:tc>
        <w:tc>
          <w:tcPr>
            <w:tcW w:w="1586" w:type="dxa"/>
            <w:gridSpan w:val="2"/>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电气专业</w:t>
            </w:r>
          </w:p>
        </w:tc>
        <w:tc>
          <w:tcPr>
            <w:tcW w:w="2661" w:type="dxa"/>
            <w:gridSpan w:val="5"/>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1500000000200611</w:t>
            </w:r>
          </w:p>
        </w:tc>
        <w:tc>
          <w:tcPr>
            <w:tcW w:w="2662" w:type="dxa"/>
            <w:gridSpan w:val="5"/>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w:t>
            </w:r>
          </w:p>
        </w:tc>
        <w:tc>
          <w:tcPr>
            <w:tcW w:w="1663" w:type="dxa"/>
            <w:vAlign w:val="center"/>
          </w:tcPr>
          <w:p>
            <w:pPr>
              <w:adjustRightInd w:val="0"/>
              <w:snapToGrid w:val="0"/>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Cs w:val="21"/>
              </w:rPr>
              <w:t>白建明</w:t>
            </w:r>
          </w:p>
        </w:tc>
        <w:tc>
          <w:tcPr>
            <w:tcW w:w="1586" w:type="dxa"/>
            <w:gridSpan w:val="2"/>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电气专业</w:t>
            </w:r>
          </w:p>
        </w:tc>
        <w:tc>
          <w:tcPr>
            <w:tcW w:w="2661"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1700000000201198</w:t>
            </w:r>
          </w:p>
        </w:tc>
        <w:tc>
          <w:tcPr>
            <w:tcW w:w="2662" w:type="dxa"/>
            <w:gridSpan w:val="5"/>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ascii="仿宋" w:hAnsi="仿宋" w:eastAsia="仿宋" w:cs="宋体"/>
                <w:kern w:val="0"/>
                <w:szCs w:val="21"/>
              </w:rPr>
              <w:t>62120125930</w:t>
            </w:r>
          </w:p>
        </w:tc>
        <w:tc>
          <w:tcPr>
            <w:tcW w:w="1663" w:type="dxa"/>
            <w:vAlign w:val="center"/>
          </w:tcPr>
          <w:p>
            <w:pPr>
              <w:adjustRightInd w:val="0"/>
              <w:snapToGrid w:val="0"/>
              <w:jc w:val="center"/>
              <w:rPr>
                <w:rFonts w:ascii="仿宋" w:hAnsi="仿宋" w:eastAsia="仿宋" w:cs="Times New Roman"/>
                <w:kern w:val="2"/>
                <w:sz w:val="21"/>
                <w:szCs w:val="21"/>
                <w:lang w:val="en-US" w:eastAsia="zh-CN" w:bidi="ar-SA"/>
              </w:rPr>
            </w:pPr>
            <w:r>
              <w:rPr>
                <w:rFonts w:hint="eastAsia" w:ascii="仿宋" w:hAnsi="仿宋" w:eastAsia="仿宋"/>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王颜龙</w:t>
            </w:r>
          </w:p>
        </w:tc>
        <w:tc>
          <w:tcPr>
            <w:tcW w:w="1586" w:type="dxa"/>
            <w:gridSpan w:val="2"/>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Cs w:val="21"/>
              </w:rPr>
              <w:t>采矿专业</w:t>
            </w:r>
          </w:p>
        </w:tc>
        <w:tc>
          <w:tcPr>
            <w:tcW w:w="2661" w:type="dxa"/>
            <w:gridSpan w:val="5"/>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Cs w:val="21"/>
              </w:rPr>
              <w:t>1800000000301325</w:t>
            </w:r>
          </w:p>
        </w:tc>
        <w:tc>
          <w:tcPr>
            <w:tcW w:w="2662" w:type="dxa"/>
            <w:gridSpan w:val="5"/>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田祖伟</w:t>
            </w:r>
          </w:p>
        </w:tc>
        <w:tc>
          <w:tcPr>
            <w:tcW w:w="1586" w:type="dxa"/>
            <w:gridSpan w:val="2"/>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Cs w:val="21"/>
              </w:rPr>
              <w:t>安全专业</w:t>
            </w:r>
          </w:p>
        </w:tc>
        <w:tc>
          <w:tcPr>
            <w:tcW w:w="2661" w:type="dxa"/>
            <w:gridSpan w:val="5"/>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Cs w:val="21"/>
              </w:rPr>
              <w:t>1700000000301781</w:t>
            </w:r>
          </w:p>
        </w:tc>
        <w:tc>
          <w:tcPr>
            <w:tcW w:w="2662" w:type="dxa"/>
            <w:gridSpan w:val="5"/>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55180193956</w:t>
            </w:r>
          </w:p>
        </w:tc>
        <w:tc>
          <w:tcPr>
            <w:tcW w:w="1663" w:type="dxa"/>
            <w:vAlign w:val="center"/>
          </w:tcPr>
          <w:p>
            <w:pPr>
              <w:adjustRightInd w:val="0"/>
              <w:snapToGrid w:val="0"/>
              <w:jc w:val="center"/>
              <w:rPr>
                <w:rFonts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欧建</w:t>
            </w:r>
          </w:p>
        </w:tc>
        <w:tc>
          <w:tcPr>
            <w:tcW w:w="1586" w:type="dxa"/>
            <w:gridSpan w:val="2"/>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Cs w:val="21"/>
              </w:rPr>
              <w:t>地质专业</w:t>
            </w:r>
          </w:p>
        </w:tc>
        <w:tc>
          <w:tcPr>
            <w:tcW w:w="2661" w:type="dxa"/>
            <w:gridSpan w:val="5"/>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Cs w:val="21"/>
              </w:rPr>
              <w:t>1800000000301234</w:t>
            </w:r>
          </w:p>
        </w:tc>
        <w:tc>
          <w:tcPr>
            <w:tcW w:w="2662" w:type="dxa"/>
            <w:gridSpan w:val="5"/>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w:t>
            </w:r>
          </w:p>
        </w:tc>
        <w:tc>
          <w:tcPr>
            <w:tcW w:w="1663" w:type="dxa"/>
            <w:vAlign w:val="center"/>
          </w:tcPr>
          <w:p>
            <w:pPr>
              <w:adjustRightInd w:val="0"/>
              <w:snapToGrid w:val="0"/>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孙文豪</w:t>
            </w:r>
          </w:p>
        </w:tc>
        <w:tc>
          <w:tcPr>
            <w:tcW w:w="1586" w:type="dxa"/>
            <w:gridSpan w:val="2"/>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Cs w:val="21"/>
              </w:rPr>
              <w:t>通风专业</w:t>
            </w:r>
          </w:p>
        </w:tc>
        <w:tc>
          <w:tcPr>
            <w:tcW w:w="2661" w:type="dxa"/>
            <w:gridSpan w:val="5"/>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Cs w:val="21"/>
              </w:rPr>
              <w:t>S011053000110193002453</w:t>
            </w:r>
          </w:p>
        </w:tc>
        <w:tc>
          <w:tcPr>
            <w:tcW w:w="2662" w:type="dxa"/>
            <w:gridSpan w:val="5"/>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闫云光</w:t>
            </w:r>
          </w:p>
        </w:tc>
        <w:tc>
          <w:tcPr>
            <w:tcW w:w="1586" w:type="dxa"/>
            <w:gridSpan w:val="2"/>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采矿专业</w:t>
            </w:r>
          </w:p>
        </w:tc>
        <w:tc>
          <w:tcPr>
            <w:tcW w:w="2661" w:type="dxa"/>
            <w:gridSpan w:val="5"/>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Cs w:val="21"/>
              </w:rPr>
              <w:t>S011053000110192002943</w:t>
            </w:r>
          </w:p>
        </w:tc>
        <w:tc>
          <w:tcPr>
            <w:tcW w:w="2662" w:type="dxa"/>
            <w:gridSpan w:val="5"/>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ascii="仿宋" w:hAnsi="仿宋" w:eastAsia="仿宋" w:cs="宋体"/>
                <w:kern w:val="0"/>
                <w:szCs w:val="21"/>
              </w:rPr>
              <w:t>55210262938</w:t>
            </w:r>
          </w:p>
        </w:tc>
        <w:tc>
          <w:tcPr>
            <w:tcW w:w="1663" w:type="dxa"/>
            <w:vAlign w:val="center"/>
          </w:tcPr>
          <w:p>
            <w:pPr>
              <w:adjustRightInd w:val="0"/>
              <w:snapToGrid w:val="0"/>
              <w:jc w:val="center"/>
              <w:rPr>
                <w:rFonts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李伟</w:t>
            </w:r>
          </w:p>
        </w:tc>
        <w:tc>
          <w:tcPr>
            <w:tcW w:w="1586" w:type="dxa"/>
            <w:gridSpan w:val="2"/>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Cs w:val="21"/>
              </w:rPr>
              <w:t>机械专业</w:t>
            </w:r>
          </w:p>
        </w:tc>
        <w:tc>
          <w:tcPr>
            <w:tcW w:w="2661" w:type="dxa"/>
            <w:gridSpan w:val="5"/>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1800000000201223</w:t>
            </w:r>
          </w:p>
        </w:tc>
        <w:tc>
          <w:tcPr>
            <w:tcW w:w="2662" w:type="dxa"/>
            <w:gridSpan w:val="5"/>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w:t>
            </w:r>
          </w:p>
        </w:tc>
        <w:tc>
          <w:tcPr>
            <w:tcW w:w="1663" w:type="dxa"/>
            <w:vAlign w:val="center"/>
          </w:tcPr>
          <w:p>
            <w:pPr>
              <w:adjustRightInd w:val="0"/>
              <w:snapToGrid w:val="0"/>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唐元杰</w:t>
            </w:r>
          </w:p>
        </w:tc>
        <w:tc>
          <w:tcPr>
            <w:tcW w:w="1586" w:type="dxa"/>
            <w:gridSpan w:val="2"/>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Cs w:val="21"/>
              </w:rPr>
              <w:t>通风、安全</w:t>
            </w:r>
          </w:p>
        </w:tc>
        <w:tc>
          <w:tcPr>
            <w:tcW w:w="2661" w:type="dxa"/>
            <w:gridSpan w:val="5"/>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0800000000103084</w:t>
            </w:r>
          </w:p>
        </w:tc>
        <w:tc>
          <w:tcPr>
            <w:tcW w:w="2662" w:type="dxa"/>
            <w:gridSpan w:val="5"/>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ascii="仿宋" w:hAnsi="仿宋" w:eastAsia="仿宋" w:cs="宋体"/>
                <w:kern w:val="0"/>
                <w:szCs w:val="21"/>
              </w:rPr>
              <w:t>55070030029</w:t>
            </w:r>
          </w:p>
        </w:tc>
        <w:tc>
          <w:tcPr>
            <w:tcW w:w="1663" w:type="dxa"/>
            <w:vAlign w:val="center"/>
          </w:tcPr>
          <w:p>
            <w:pPr>
              <w:adjustRightInd w:val="0"/>
              <w:snapToGrid w:val="0"/>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吴子科</w:t>
            </w:r>
          </w:p>
        </w:tc>
        <w:tc>
          <w:tcPr>
            <w:tcW w:w="1586" w:type="dxa"/>
            <w:gridSpan w:val="2"/>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Cs w:val="21"/>
              </w:rPr>
              <w:t>水工结构</w:t>
            </w:r>
          </w:p>
        </w:tc>
        <w:tc>
          <w:tcPr>
            <w:tcW w:w="2661" w:type="dxa"/>
            <w:gridSpan w:val="5"/>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1500000000100173</w:t>
            </w:r>
          </w:p>
        </w:tc>
        <w:tc>
          <w:tcPr>
            <w:tcW w:w="2662" w:type="dxa"/>
            <w:gridSpan w:val="5"/>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ascii="仿宋" w:hAnsi="仿宋" w:eastAsia="仿宋" w:cs="宋体"/>
                <w:kern w:val="0"/>
                <w:szCs w:val="21"/>
              </w:rPr>
              <w:t>55180193792</w:t>
            </w:r>
          </w:p>
        </w:tc>
        <w:tc>
          <w:tcPr>
            <w:tcW w:w="1663" w:type="dxa"/>
            <w:vAlign w:val="center"/>
          </w:tcPr>
          <w:p>
            <w:pPr>
              <w:adjustRightInd w:val="0"/>
              <w:snapToGrid w:val="0"/>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冯皓</w:t>
            </w:r>
          </w:p>
        </w:tc>
        <w:tc>
          <w:tcPr>
            <w:tcW w:w="1586" w:type="dxa"/>
            <w:gridSpan w:val="2"/>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机械、化工机械</w:t>
            </w:r>
          </w:p>
        </w:tc>
        <w:tc>
          <w:tcPr>
            <w:tcW w:w="2661" w:type="dxa"/>
            <w:gridSpan w:val="5"/>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1600000000201291</w:t>
            </w:r>
          </w:p>
        </w:tc>
        <w:tc>
          <w:tcPr>
            <w:tcW w:w="2662" w:type="dxa"/>
            <w:gridSpan w:val="5"/>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55130140330</w:t>
            </w:r>
          </w:p>
        </w:tc>
        <w:tc>
          <w:tcPr>
            <w:tcW w:w="1663" w:type="dxa"/>
            <w:vAlign w:val="center"/>
          </w:tcPr>
          <w:p>
            <w:pPr>
              <w:adjustRightInd w:val="0"/>
              <w:snapToGrid w:val="0"/>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蔡治勇</w:t>
            </w:r>
          </w:p>
        </w:tc>
        <w:tc>
          <w:tcPr>
            <w:tcW w:w="1586" w:type="dxa"/>
            <w:gridSpan w:val="2"/>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火炸药、安全</w:t>
            </w:r>
          </w:p>
        </w:tc>
        <w:tc>
          <w:tcPr>
            <w:tcW w:w="2661" w:type="dxa"/>
            <w:gridSpan w:val="5"/>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0800000000102949</w:t>
            </w:r>
          </w:p>
        </w:tc>
        <w:tc>
          <w:tcPr>
            <w:tcW w:w="2662" w:type="dxa"/>
            <w:gridSpan w:val="5"/>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55080052964</w:t>
            </w:r>
          </w:p>
        </w:tc>
        <w:tc>
          <w:tcPr>
            <w:tcW w:w="1663" w:type="dxa"/>
            <w:vAlign w:val="center"/>
          </w:tcPr>
          <w:p>
            <w:pPr>
              <w:adjustRightInd w:val="0"/>
              <w:snapToGrid w:val="0"/>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ascii="仿宋" w:hAnsi="仿宋" w:eastAsia="仿宋" w:cs="宋体"/>
                <w:b/>
                <w:bCs/>
                <w:szCs w:val="21"/>
              </w:rPr>
            </w:pPr>
            <w:r>
              <w:rPr>
                <w:rFonts w:hint="eastAsia" w:ascii="仿宋" w:hAnsi="仿宋" w:eastAsia="仿宋" w:cs="宋体"/>
                <w:b/>
                <w:bCs/>
                <w:szCs w:val="21"/>
              </w:rPr>
              <w:t>项目简介：</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宋体"/>
                <w:bCs/>
                <w:szCs w:val="21"/>
                <w:lang w:val="en-US" w:eastAsia="zh-CN"/>
              </w:rPr>
            </w:pPr>
            <w:bookmarkStart w:id="0" w:name="_Toc423437632"/>
            <w:r>
              <w:rPr>
                <w:rFonts w:hint="eastAsia" w:ascii="仿宋" w:hAnsi="仿宋" w:eastAsia="仿宋" w:cs="宋体"/>
                <w:bCs/>
                <w:szCs w:val="21"/>
                <w:lang w:val="en-US" w:eastAsia="zh-CN"/>
              </w:rPr>
              <w:t>一、企业简介</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宋体"/>
                <w:bCs/>
                <w:szCs w:val="21"/>
                <w:lang w:val="en-US" w:eastAsia="zh-CN"/>
              </w:rPr>
            </w:pPr>
            <w:r>
              <w:rPr>
                <w:rFonts w:hint="eastAsia" w:ascii="仿宋" w:hAnsi="仿宋" w:eastAsia="仿宋" w:cs="宋体"/>
                <w:bCs/>
                <w:szCs w:val="21"/>
                <w:lang w:val="en-US" w:eastAsia="zh-CN"/>
              </w:rPr>
              <w:t>临洮县霖轩建材厂成立于2018年3月22日，公司类型为个人独资企业，法定代表人何永录，公司注册地址甘肃省定西市临洮县连儿湾乡三源村草地社，公司是以建材加工、批发、零售；矿产品的开采、加工、销售为经营范围的企业。</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宋体"/>
                <w:bCs/>
                <w:szCs w:val="21"/>
                <w:lang w:val="en-US" w:eastAsia="zh-CN"/>
              </w:rPr>
            </w:pPr>
            <w:r>
              <w:rPr>
                <w:rFonts w:hint="eastAsia" w:ascii="仿宋" w:hAnsi="仿宋" w:eastAsia="仿宋" w:cs="宋体"/>
                <w:bCs/>
                <w:szCs w:val="21"/>
                <w:lang w:val="en-US" w:eastAsia="zh-CN"/>
              </w:rPr>
              <w:t>该矿山现持有采矿许可证（证号：C6211242020057100149838）为临洮县自然资源局2020年5月12日颁发，有效期至2023年5月12日。该矿山为新建矿山。</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宋体"/>
                <w:bCs/>
                <w:szCs w:val="21"/>
                <w:lang w:val="en-US" w:eastAsia="zh-CN"/>
              </w:rPr>
            </w:pPr>
            <w:r>
              <w:rPr>
                <w:rFonts w:hint="eastAsia" w:ascii="仿宋" w:hAnsi="仿宋" w:eastAsia="仿宋" w:cs="宋体"/>
                <w:bCs/>
                <w:szCs w:val="21"/>
                <w:lang w:val="en-US" w:eastAsia="zh-CN"/>
              </w:rPr>
              <w:t>该矿山现有员工40人，主要包括主要负责人、安全生产管理人员，特种作业人员，技术人员、采场作业工、破碎作业工、后勤等人员组成。</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szCs w:val="21"/>
                <w:lang w:val="en-US" w:eastAsia="zh-CN"/>
              </w:rPr>
            </w:pPr>
            <w:r>
              <w:rPr>
                <w:rFonts w:hint="eastAsia" w:ascii="仿宋" w:hAnsi="仿宋" w:eastAsia="仿宋" w:cs="宋体"/>
                <w:bCs/>
                <w:szCs w:val="21"/>
                <w:lang w:val="en-US" w:eastAsia="zh-CN"/>
              </w:rPr>
              <w:t>矿区隶属甘肃省临洮县连儿湾乡管辖。矿区位于连儿湾乡三源村，距离临洮县正东方向约40km，矿区距省道211线直线距离约5km，国道至矿山有便道通行，临洮县连儿湾乡三源村建筑用花岗岩矿拟申请建筑用砂石料矿矿区范围地理坐标：东经104°06′39″~104°07′15″；北纬：35°30′18″~35°30′43″。</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szCs w:val="21"/>
                <w:lang w:val="en-US" w:eastAsia="zh-CN"/>
              </w:rPr>
            </w:pPr>
            <w:r>
              <w:rPr>
                <w:rFonts w:hint="eastAsia" w:ascii="仿宋" w:hAnsi="仿宋" w:eastAsia="仿宋" w:cs="宋体"/>
                <w:bCs/>
                <w:szCs w:val="21"/>
                <w:lang w:val="en-US" w:eastAsia="zh-CN"/>
              </w:rPr>
              <w:t>矿区边界500m范围内为高山，</w:t>
            </w:r>
            <w:bookmarkStart w:id="1" w:name="OLE_LINK9"/>
            <w:r>
              <w:rPr>
                <w:rFonts w:hint="eastAsia" w:ascii="仿宋" w:hAnsi="仿宋" w:eastAsia="仿宋" w:cs="宋体"/>
                <w:bCs/>
                <w:szCs w:val="21"/>
                <w:lang w:val="en-US" w:eastAsia="zh-CN"/>
              </w:rPr>
              <w:t>矿区300m爆破安全警戒范围内无居民、国家重点工业设施、水源地</w:t>
            </w:r>
            <w:bookmarkEnd w:id="1"/>
            <w:r>
              <w:rPr>
                <w:rFonts w:hint="eastAsia" w:ascii="仿宋" w:hAnsi="仿宋" w:eastAsia="仿宋" w:cs="宋体"/>
                <w:bCs/>
                <w:szCs w:val="21"/>
                <w:lang w:val="en-US" w:eastAsia="zh-CN"/>
              </w:rPr>
              <w:t>保护区、草原林地保护区、国家电网、铁路、公路、水利设施、文物保护区、基本农田等。</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szCs w:val="21"/>
                <w:lang w:val="en-US" w:eastAsia="zh-CN"/>
              </w:rPr>
            </w:pPr>
            <w:r>
              <w:rPr>
                <w:rFonts w:hint="eastAsia" w:ascii="仿宋" w:hAnsi="仿宋" w:eastAsia="仿宋" w:cs="宋体"/>
                <w:bCs/>
                <w:szCs w:val="21"/>
                <w:lang w:val="en-US" w:eastAsia="zh-CN"/>
              </w:rPr>
              <w:t>矿区总平面布置分为：破碎区、堆放区、生产区、生活区集中就近布置在矿区附近平坦处，矿区采场道路为一条简易公路。</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szCs w:val="21"/>
                <w:lang w:val="en-US" w:eastAsia="zh-CN"/>
              </w:rPr>
            </w:pPr>
            <w:r>
              <w:rPr>
                <w:rFonts w:hint="eastAsia" w:ascii="仿宋" w:hAnsi="仿宋" w:eastAsia="仿宋" w:cs="宋体"/>
                <w:bCs/>
                <w:szCs w:val="21"/>
                <w:lang w:val="en-US" w:eastAsia="zh-CN"/>
              </w:rPr>
              <w:t>矿山总平面布置内容主要有办公生活区、矿山破碎工业场地、开采工作面、运矿道路等。</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szCs w:val="21"/>
                <w:lang w:val="en-US" w:eastAsia="zh-CN"/>
              </w:rPr>
            </w:pPr>
            <w:r>
              <w:rPr>
                <w:rFonts w:hint="eastAsia" w:ascii="仿宋" w:hAnsi="仿宋" w:eastAsia="仿宋" w:cs="宋体"/>
                <w:bCs/>
                <w:szCs w:val="21"/>
                <w:lang w:val="en-US" w:eastAsia="zh-CN"/>
              </w:rPr>
              <w:t>1）办公生活区</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szCs w:val="21"/>
                <w:lang w:val="en-US" w:eastAsia="zh-CN"/>
              </w:rPr>
            </w:pPr>
            <w:r>
              <w:rPr>
                <w:rFonts w:hint="eastAsia" w:ascii="仿宋" w:hAnsi="仿宋" w:eastAsia="仿宋" w:cs="宋体"/>
                <w:bCs/>
                <w:szCs w:val="21"/>
                <w:lang w:val="en-US" w:eastAsia="zh-CN"/>
              </w:rPr>
              <w:t>矿山办公生活区位于采场西南侧440m平台，矿山办公生活建（构）筑物均为单层彩钢岩棉结构，占地面积1220m</w:t>
            </w:r>
            <w:r>
              <w:rPr>
                <w:rFonts w:hint="eastAsia" w:ascii="仿宋" w:hAnsi="仿宋" w:eastAsia="仿宋" w:cs="宋体"/>
                <w:bCs/>
                <w:szCs w:val="21"/>
                <w:vertAlign w:val="superscript"/>
                <w:lang w:val="en-US" w:eastAsia="zh-CN"/>
              </w:rPr>
              <w:t>2</w:t>
            </w:r>
            <w:r>
              <w:rPr>
                <w:rFonts w:hint="eastAsia" w:ascii="仿宋" w:hAnsi="仿宋" w:eastAsia="仿宋" w:cs="宋体"/>
                <w:bCs/>
                <w:szCs w:val="21"/>
                <w:lang w:val="en-US" w:eastAsia="zh-CN"/>
              </w:rPr>
              <w:t>。</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szCs w:val="21"/>
                <w:lang w:val="en-US" w:eastAsia="zh-CN"/>
              </w:rPr>
            </w:pPr>
            <w:r>
              <w:rPr>
                <w:rFonts w:hint="eastAsia" w:ascii="仿宋" w:hAnsi="仿宋" w:eastAsia="仿宋" w:cs="宋体"/>
                <w:bCs/>
                <w:szCs w:val="21"/>
                <w:lang w:val="en-US" w:eastAsia="zh-CN"/>
              </w:rPr>
              <w:t>2）矿山破碎工业场地</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szCs w:val="21"/>
                <w:lang w:val="en-US" w:eastAsia="zh-CN"/>
              </w:rPr>
            </w:pPr>
            <w:r>
              <w:rPr>
                <w:rFonts w:hint="eastAsia" w:ascii="仿宋" w:hAnsi="仿宋" w:eastAsia="仿宋" w:cs="宋体"/>
                <w:bCs/>
                <w:szCs w:val="21"/>
                <w:lang w:val="en-US" w:eastAsia="zh-CN"/>
              </w:rPr>
              <w:t>破碎工业场地位于采场西南侧585m位置，主要由原矿堆场、石料破碎、石料输送线、石料筛分线、成品区、变压器站、配电室，矿山生活区等。占地面积约22615m</w:t>
            </w:r>
            <w:r>
              <w:rPr>
                <w:rFonts w:hint="eastAsia" w:ascii="仿宋" w:hAnsi="仿宋" w:eastAsia="仿宋" w:cs="宋体"/>
                <w:bCs/>
                <w:szCs w:val="21"/>
                <w:vertAlign w:val="superscript"/>
                <w:lang w:val="en-US" w:eastAsia="zh-CN"/>
              </w:rPr>
              <w:t>2</w:t>
            </w:r>
            <w:r>
              <w:rPr>
                <w:rFonts w:hint="eastAsia" w:ascii="仿宋" w:hAnsi="仿宋" w:eastAsia="仿宋" w:cs="宋体"/>
                <w:bCs/>
                <w:szCs w:val="21"/>
                <w:lang w:val="en-US" w:eastAsia="zh-CN"/>
              </w:rPr>
              <w:t>，建筑设施均为彩钢岩棉结构。</w:t>
            </w:r>
          </w:p>
          <w:bookmarkEnd w:id="0"/>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ascii="仿宋" w:hAnsi="仿宋" w:eastAsia="仿宋" w:cs="宋体"/>
                <w:szCs w:val="21"/>
              </w:rPr>
            </w:pPr>
            <w:r>
              <w:rPr>
                <w:rFonts w:hint="eastAsia" w:ascii="仿宋" w:hAnsi="仿宋" w:eastAsia="仿宋" w:cs="宋体"/>
                <w:b/>
                <w:bCs/>
                <w:szCs w:val="21"/>
              </w:rPr>
              <w:t>现场勘察照片</w:t>
            </w:r>
            <w:r>
              <w:rPr>
                <w:rFonts w:hint="eastAsia" w:ascii="仿宋" w:hAnsi="仿宋" w:eastAsia="仿宋" w:cs="宋体"/>
                <w:szCs w:val="21"/>
              </w:rPr>
              <w:t>：</w:t>
            </w:r>
          </w:p>
          <w:p>
            <w:pPr>
              <w:pStyle w:val="5"/>
              <w:spacing w:line="240" w:lineRule="auto"/>
              <w:rPr>
                <w:rFonts w:ascii="仿宋" w:hAnsi="仿宋" w:eastAsia="仿宋" w:cs="宋体"/>
                <w:szCs w:val="21"/>
              </w:rPr>
            </w:pPr>
            <w:r>
              <w:rPr>
                <w:rFonts w:hint="eastAsia" w:ascii="仿宋" w:hAnsi="仿宋" w:eastAsia="仿宋" w:cs="宋体"/>
                <w:szCs w:val="21"/>
                <w:lang w:eastAsia="zh-CN"/>
              </w:rPr>
              <w:drawing>
                <wp:inline distT="0" distB="0" distL="114300" distR="114300">
                  <wp:extent cx="5266690" cy="2487295"/>
                  <wp:effectExtent l="0" t="0" r="10160" b="8255"/>
                  <wp:docPr id="1" name="图片 1" descr="IMG20210714104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20210714104313"/>
                          <pic:cNvPicPr>
                            <a:picLocks noChangeAspect="1"/>
                          </pic:cNvPicPr>
                        </pic:nvPicPr>
                        <pic:blipFill>
                          <a:blip r:embed="rId4"/>
                          <a:stretch>
                            <a:fillRect/>
                          </a:stretch>
                        </pic:blipFill>
                        <pic:spPr>
                          <a:xfrm>
                            <a:off x="0" y="0"/>
                            <a:ext cx="5266690" cy="248729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李全文王颜龙</w:t>
            </w:r>
          </w:p>
        </w:tc>
        <w:tc>
          <w:tcPr>
            <w:tcW w:w="2622" w:type="dxa"/>
            <w:gridSpan w:val="4"/>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w:t>
            </w:r>
            <w:r>
              <w:rPr>
                <w:rFonts w:ascii="仿宋" w:hAnsi="仿宋" w:eastAsia="仿宋"/>
                <w:szCs w:val="21"/>
              </w:rPr>
              <w:t>2</w:t>
            </w:r>
            <w:r>
              <w:rPr>
                <w:rFonts w:hint="eastAsia" w:ascii="仿宋" w:hAnsi="仿宋" w:eastAsia="仿宋"/>
                <w:szCs w:val="21"/>
                <w:lang w:val="en-US" w:eastAsia="zh-CN"/>
              </w:rPr>
              <w:t>1</w:t>
            </w:r>
            <w:r>
              <w:rPr>
                <w:rFonts w:ascii="仿宋" w:hAnsi="仿宋" w:eastAsia="仿宋"/>
                <w:szCs w:val="21"/>
              </w:rPr>
              <w:t>.</w:t>
            </w:r>
            <w:r>
              <w:rPr>
                <w:rFonts w:hint="eastAsia" w:ascii="仿宋" w:hAnsi="仿宋" w:eastAsia="仿宋"/>
                <w:szCs w:val="21"/>
                <w:lang w:val="en-US" w:eastAsia="zh-CN"/>
              </w:rPr>
              <w:t>7</w:t>
            </w:r>
            <w:r>
              <w:rPr>
                <w:rFonts w:ascii="仿宋" w:hAnsi="仿宋" w:eastAsia="仿宋"/>
                <w:szCs w:val="21"/>
              </w:rPr>
              <w:t>.</w:t>
            </w:r>
            <w:r>
              <w:rPr>
                <w:rFonts w:hint="eastAsia" w:ascii="仿宋" w:hAnsi="仿宋" w:eastAsia="仿宋"/>
                <w:szCs w:val="21"/>
                <w:lang w:val="en-US" w:eastAsia="zh-CN"/>
              </w:rPr>
              <w:t>14</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现场勘验</w:t>
            </w:r>
          </w:p>
        </w:tc>
        <w:tc>
          <w:tcPr>
            <w:tcW w:w="3138" w:type="dxa"/>
            <w:gridSpan w:val="5"/>
            <w:vAlign w:val="center"/>
          </w:tcPr>
          <w:p>
            <w:pPr>
              <w:spacing w:line="300" w:lineRule="exact"/>
              <w:jc w:val="left"/>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1.局部道路坡度过陡。</w:t>
            </w:r>
          </w:p>
          <w:p>
            <w:pPr>
              <w:spacing w:line="300" w:lineRule="exact"/>
              <w:jc w:val="left"/>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2.安全平台宽度不够。</w:t>
            </w:r>
          </w:p>
          <w:p>
            <w:pPr>
              <w:spacing w:line="300" w:lineRule="exact"/>
              <w:jc w:val="left"/>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3.配电室不符合规范要求。</w:t>
            </w:r>
          </w:p>
          <w:p>
            <w:pPr>
              <w:spacing w:line="300" w:lineRule="exact"/>
              <w:jc w:val="left"/>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4.安全警示标志缺少。</w:t>
            </w:r>
          </w:p>
          <w:p>
            <w:pPr>
              <w:spacing w:line="300" w:lineRule="exact"/>
              <w:jc w:val="left"/>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5.线路敷设混乱。</w:t>
            </w:r>
          </w:p>
          <w:p>
            <w:pPr>
              <w:spacing w:line="300" w:lineRule="exact"/>
              <w:jc w:val="left"/>
              <w:rPr>
                <w:rFonts w:hint="default" w:ascii="仿宋" w:hAnsi="仿宋" w:eastAsia="仿宋" w:cs="Times New Roman"/>
                <w:szCs w:val="21"/>
                <w:lang w:val="en-US" w:eastAsia="zh-CN"/>
              </w:rPr>
            </w:pPr>
            <w:r>
              <w:rPr>
                <w:rFonts w:hint="eastAsia" w:ascii="仿宋" w:hAnsi="仿宋" w:eastAsia="仿宋" w:cs="Times New Roman"/>
                <w:szCs w:val="21"/>
                <w:lang w:val="en-US" w:eastAsia="zh-CN"/>
              </w:rPr>
              <w:t>6.破碎车间高处作业平台安全护栏安装不符合设计要求。</w:t>
            </w:r>
          </w:p>
        </w:tc>
      </w:tr>
    </w:tbl>
    <w:p>
      <w:bookmarkStart w:id="2" w:name="_GoBack"/>
      <w:bookmarkEnd w:id="2"/>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Segoe UI Symbol">
    <w:panose1 w:val="020B0502040204020203"/>
    <w:charset w:val="00"/>
    <w:family w:val="swiss"/>
    <w:pitch w:val="default"/>
    <w:sig w:usb0="8000006F" w:usb1="1200FBEF" w:usb2="0064C000" w:usb3="00000002" w:csb0="0000000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DA33BB"/>
    <w:rsid w:val="22DA33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endnote text"/>
    <w:basedOn w:val="1"/>
    <w:qFormat/>
    <w:uiPriority w:val="0"/>
    <w:pPr>
      <w:snapToGrid w:val="0"/>
      <w:jc w:val="left"/>
    </w:pPr>
  </w:style>
  <w:style w:type="paragraph" w:customStyle="1" w:styleId="5">
    <w:name w:val="a 正文"/>
    <w:basedOn w:val="1"/>
    <w:qFormat/>
    <w:uiPriority w:val="99"/>
    <w:pPr>
      <w:spacing w:line="460" w:lineRule="exact"/>
      <w:ind w:firstLine="0" w:firstLineChars="0"/>
      <w:jc w:val="center"/>
    </w:pPr>
    <w:rPr>
      <w:b/>
      <w:kern w:val="0"/>
      <w:szCs w:val="32"/>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2021-08-19T07:16:00Z</dcterms:created>
  <dc:creator>雷楠</dc:creator>
  <cp:lastModifiedBy>雷楠</cp:lastModifiedBy>
  <dcterms:modified xsi:type="dcterms:W3CDTF">2021-08-19T07:17:02Z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