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中国石油西南油气田分公司川中油气矿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安岳气田磨溪区块气田水达标外排处理输水管线工程安全预评价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预评价 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/>
                <w:lang w:eastAsia="zh-CN"/>
              </w:rPr>
              <w:t>陆上</w:t>
            </w:r>
            <w:r>
              <w:t>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唐波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宋体" w:hAnsi="宋体" w:eastAsia="仿宋"/>
                <w:kern w:val="0"/>
                <w:sz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唐波、李伟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51080054488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020783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030718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55170171255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唐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035894/S011053000110192003004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019244/</w:t>
            </w:r>
            <w:r>
              <w:rPr>
                <w:rFonts w:hint="eastAsia" w:ascii="仿宋" w:hAnsi="仿宋" w:eastAsia="仿宋"/>
                <w:szCs w:val="21"/>
              </w:rPr>
              <w:t>S01105300011019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00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火炸药；安全（职称）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003832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2"/>
                <w:lang w:eastAsia="zh-CN"/>
              </w:rPr>
              <w:t>雷 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</w:t>
            </w:r>
            <w:r>
              <w:rPr>
                <w:rFonts w:ascii="仿宋" w:hAnsi="仿宋" w:eastAsia="仿宋" w:cs="宋体"/>
                <w:kern w:val="0"/>
                <w:szCs w:val="21"/>
              </w:rPr>
              <w:t>35553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/S01105300011019</w:t>
            </w:r>
            <w:r>
              <w:rPr>
                <w:rFonts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00</w:t>
            </w:r>
            <w:r>
              <w:rPr>
                <w:rFonts w:ascii="仿宋" w:hAnsi="仿宋" w:eastAsia="仿宋" w:cs="宋体"/>
                <w:kern w:val="0"/>
                <w:szCs w:val="21"/>
              </w:rPr>
              <w:t>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</w:pPr>
            <w:r>
              <w:rPr>
                <w:rFonts w:hint="eastAsia"/>
              </w:rPr>
              <w:t xml:space="preserve"> </w:t>
            </w:r>
            <w:r>
              <w:t>根据遂宁市生态环境局关于《安岳气田磨溪区块气田水达标外排处理项目入河排污口设置的批复》要求</w:t>
            </w:r>
            <w:r>
              <w:rPr>
                <w:rFonts w:hint="eastAsia"/>
                <w:lang w:eastAsia="zh-CN"/>
              </w:rPr>
              <w:t>，</w:t>
            </w:r>
            <w:r>
              <w:t>川中油气矿负责建设龙王庙集气总站至气田水处理站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1.2km</w:t>
            </w:r>
            <w:r>
              <w:rPr>
                <w:rFonts w:hint="eastAsia"/>
                <w:lang w:eastAsia="zh-CN"/>
              </w:rPr>
              <w:t>）</w:t>
            </w:r>
            <w:r>
              <w:t>以及气田水处理站至排污口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30.2km</w:t>
            </w:r>
            <w:r>
              <w:rPr>
                <w:rFonts w:hint="eastAsia"/>
                <w:lang w:eastAsia="zh-CN"/>
              </w:rPr>
              <w:t>）</w:t>
            </w:r>
            <w:r>
              <w:t>的输水管线</w:t>
            </w:r>
            <w:r>
              <w:rPr>
                <w:rFonts w:hint="eastAsia"/>
                <w:lang w:eastAsia="zh-CN"/>
              </w:rPr>
              <w:t>。建设规模</w:t>
            </w:r>
            <w:r>
              <w:rPr>
                <w:rFonts w:hint="eastAsia"/>
              </w:rPr>
              <w:t>1000m3/d</w:t>
            </w:r>
            <w:r>
              <w:rPr>
                <w:rFonts w:hint="eastAsia"/>
                <w:lang w:eastAsia="zh-CN"/>
              </w:rPr>
              <w:t>，</w:t>
            </w:r>
            <w:r>
              <w:t>管径DN150（φ178×14），压力等级为6.4MPa</w:t>
            </w:r>
            <w:r>
              <w:rPr>
                <w:rFonts w:hint="eastAsia"/>
                <w:lang w:eastAsia="zh-CN"/>
              </w:rPr>
              <w:t>，</w:t>
            </w:r>
            <w:r>
              <w:t>管材采用柔性复合高压输送管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834005" cy="3778250"/>
                  <wp:effectExtent l="0" t="0" r="4445" b="12700"/>
                  <wp:docPr id="1" name="图片 1" descr="项目负责人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项目负责人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4005" cy="377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唐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波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21.5.18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穿越高速公路和铁路，应获得批复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蒋  平</w:t>
            </w:r>
          </w:p>
        </w:tc>
        <w:tc>
          <w:tcPr>
            <w:tcW w:w="2622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21.5.18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现场勘察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局部高差，应考虑水击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蒋  平</w:t>
            </w:r>
          </w:p>
        </w:tc>
        <w:tc>
          <w:tcPr>
            <w:tcW w:w="2622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20.10.10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未见气田水水质报告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921618"/>
    <w:rsid w:val="2F921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2021-08-19T07:06:00Z</dcterms:created>
  <dc:creator>雷楠</dc:creator>
  <cp:lastModifiedBy>雷楠</cp:lastModifiedBy>
  <dcterms:modified xsi:type="dcterms:W3CDTF">2021-08-19T07:06:49Z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