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998"/>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069"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4257"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069"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893"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景泰县金源铁矿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069"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893" w:type="dxa"/>
            <w:gridSpan w:val="13"/>
            <w:vAlign w:val="center"/>
          </w:tcPr>
          <w:p>
            <w:pPr>
              <w:spacing w:line="500" w:lineRule="exact"/>
              <w:jc w:val="center"/>
              <w:rPr>
                <w:rFonts w:hint="eastAsia" w:ascii="仿宋" w:hAnsi="仿宋" w:eastAsia="仿宋"/>
                <w:bCs/>
                <w:color w:val="auto"/>
                <w:szCs w:val="21"/>
                <w:lang w:eastAsia="zh-CN"/>
              </w:rPr>
            </w:pPr>
            <w:r>
              <w:rPr>
                <w:rFonts w:hint="eastAsia" w:ascii="宋体" w:hAnsi="宋体" w:eastAsia="宋体" w:cs="宋体"/>
                <w:i w:val="0"/>
                <w:iCs w:val="0"/>
                <w:kern w:val="2"/>
                <w:sz w:val="21"/>
                <w:szCs w:val="21"/>
                <w:highlight w:val="none"/>
                <w:lang w:val="en-US" w:eastAsia="zh-CN" w:bidi="ar-SA"/>
              </w:rPr>
              <w:t>景泰县金源铁矿景泰县上沙沃镇李白茨水水泥配料用粘土矿安全设施验收评价报告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069"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893"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Segoe UI Symbol" w:hAnsi="Segoe UI Symbol" w:eastAsia="仿宋" w:cs="Segoe UI Symbol"/>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069"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330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069" w:type="dxa"/>
            <w:vMerge w:val="continue"/>
            <w:vAlign w:val="center"/>
          </w:tcPr>
          <w:p>
            <w:pPr>
              <w:spacing w:line="500" w:lineRule="exact"/>
              <w:jc w:val="center"/>
              <w:rPr>
                <w:rFonts w:ascii="仿宋" w:hAnsi="仿宋" w:eastAsia="仿宋"/>
                <w:b/>
                <w:color w:val="auto"/>
                <w:szCs w:val="21"/>
              </w:rPr>
            </w:pPr>
          </w:p>
        </w:tc>
        <w:tc>
          <w:tcPr>
            <w:tcW w:w="330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白建明</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69"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49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069" w:type="dxa"/>
            <w:vMerge w:val="continue"/>
            <w:vAlign w:val="center"/>
          </w:tcPr>
          <w:p>
            <w:pPr>
              <w:spacing w:line="500" w:lineRule="exact"/>
              <w:jc w:val="center"/>
              <w:rPr>
                <w:rFonts w:ascii="仿宋" w:hAnsi="仿宋" w:eastAsia="仿宋"/>
                <w:b/>
                <w:color w:val="auto"/>
                <w:szCs w:val="21"/>
              </w:rPr>
            </w:pPr>
          </w:p>
        </w:tc>
        <w:tc>
          <w:tcPr>
            <w:tcW w:w="2495"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rPr>
              <w:t>白建明</w:t>
            </w:r>
            <w:r>
              <w:rPr>
                <w:rFonts w:hint="eastAsia" w:ascii="仿宋" w:hAnsi="仿宋" w:eastAsia="仿宋"/>
                <w:color w:val="auto"/>
                <w:szCs w:val="21"/>
                <w:lang w:eastAsia="zh-CN"/>
              </w:rPr>
              <w:t>、</w:t>
            </w:r>
            <w:r>
              <w:rPr>
                <w:rFonts w:hint="eastAsia" w:ascii="仿宋" w:hAnsi="仿宋" w:eastAsia="仿宋" w:cs="宋体"/>
                <w:color w:val="auto"/>
                <w:kern w:val="0"/>
                <w:szCs w:val="21"/>
                <w:lang w:val="en-US" w:eastAsia="zh-CN"/>
              </w:rPr>
              <w:t>王颜龙</w:t>
            </w:r>
          </w:p>
        </w:tc>
        <w:tc>
          <w:tcPr>
            <w:tcW w:w="2073"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4</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蔡治勇</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9"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907"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白建明</w:t>
            </w:r>
          </w:p>
        </w:tc>
        <w:tc>
          <w:tcPr>
            <w:tcW w:w="1907"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电气</w:t>
            </w:r>
          </w:p>
        </w:tc>
        <w:tc>
          <w:tcPr>
            <w:tcW w:w="2661" w:type="dxa"/>
            <w:gridSpan w:val="5"/>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170</w:t>
            </w:r>
            <w:r>
              <w:rPr>
                <w:rFonts w:ascii="仿宋" w:hAnsi="仿宋" w:eastAsia="仿宋" w:cs="宋体"/>
                <w:color w:val="auto"/>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62120125930</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907"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苏祖明</w:t>
            </w:r>
          </w:p>
        </w:tc>
        <w:tc>
          <w:tcPr>
            <w:tcW w:w="1907"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徐茂</w:t>
            </w:r>
          </w:p>
        </w:tc>
        <w:tc>
          <w:tcPr>
            <w:tcW w:w="1907"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907"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唐波</w:t>
            </w:r>
          </w:p>
        </w:tc>
        <w:tc>
          <w:tcPr>
            <w:tcW w:w="1907"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王颜龙</w:t>
            </w:r>
          </w:p>
        </w:tc>
        <w:tc>
          <w:tcPr>
            <w:tcW w:w="1907"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吴子科</w:t>
            </w:r>
          </w:p>
        </w:tc>
        <w:tc>
          <w:tcPr>
            <w:tcW w:w="1907"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冯皓</w:t>
            </w:r>
          </w:p>
        </w:tc>
        <w:tc>
          <w:tcPr>
            <w:tcW w:w="1907"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蔡治勇</w:t>
            </w:r>
          </w:p>
        </w:tc>
        <w:tc>
          <w:tcPr>
            <w:tcW w:w="1907"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火炸药、安全</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3" w:hRule="atLeast"/>
        </w:trPr>
        <w:tc>
          <w:tcPr>
            <w:tcW w:w="1069"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893"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aps w:val="0"/>
                <w:color w:val="auto"/>
                <w:kern w:val="2"/>
                <w:sz w:val="21"/>
                <w:szCs w:val="21"/>
                <w:highlight w:val="none"/>
                <w:lang w:val="en-US" w:eastAsia="zh-CN" w:bidi="ar-SA"/>
              </w:rPr>
            </w:pPr>
            <w:r>
              <w:rPr>
                <w:rFonts w:hint="default" w:ascii="仿宋" w:hAnsi="仿宋" w:eastAsia="仿宋" w:cs="仿宋"/>
                <w:caps w:val="0"/>
                <w:color w:val="auto"/>
                <w:kern w:val="2"/>
                <w:sz w:val="21"/>
                <w:szCs w:val="21"/>
                <w:highlight w:val="none"/>
                <w:lang w:val="en-US" w:eastAsia="zh-CN" w:bidi="ar-SA"/>
              </w:rPr>
              <w:t>景泰县金源铁矿成立日期</w:t>
            </w:r>
            <w:r>
              <w:rPr>
                <w:rFonts w:hint="eastAsia" w:ascii="仿宋" w:hAnsi="仿宋" w:eastAsia="仿宋" w:cs="仿宋"/>
                <w:caps w:val="0"/>
                <w:color w:val="auto"/>
                <w:kern w:val="2"/>
                <w:sz w:val="21"/>
                <w:szCs w:val="21"/>
                <w:highlight w:val="none"/>
                <w:lang w:val="en-US" w:eastAsia="zh-CN" w:bidi="ar-SA"/>
              </w:rPr>
              <w:t>为</w:t>
            </w:r>
            <w:r>
              <w:rPr>
                <w:rFonts w:hint="default" w:ascii="仿宋" w:hAnsi="仿宋" w:eastAsia="仿宋" w:cs="仿宋"/>
                <w:caps w:val="0"/>
                <w:color w:val="auto"/>
                <w:kern w:val="2"/>
                <w:sz w:val="21"/>
                <w:szCs w:val="21"/>
                <w:highlight w:val="none"/>
                <w:lang w:val="en-US" w:eastAsia="zh-CN" w:bidi="ar-SA"/>
              </w:rPr>
              <w:t>20</w:t>
            </w:r>
            <w:r>
              <w:rPr>
                <w:rFonts w:hint="eastAsia" w:ascii="仿宋" w:hAnsi="仿宋" w:eastAsia="仿宋" w:cs="仿宋"/>
                <w:caps w:val="0"/>
                <w:color w:val="auto"/>
                <w:kern w:val="2"/>
                <w:sz w:val="21"/>
                <w:szCs w:val="21"/>
                <w:highlight w:val="none"/>
                <w:lang w:val="en-US" w:eastAsia="zh-CN" w:bidi="ar-SA"/>
              </w:rPr>
              <w:t>00</w:t>
            </w:r>
            <w:r>
              <w:rPr>
                <w:rFonts w:hint="default" w:ascii="仿宋" w:hAnsi="仿宋" w:eastAsia="仿宋" w:cs="仿宋"/>
                <w:caps w:val="0"/>
                <w:color w:val="auto"/>
                <w:kern w:val="2"/>
                <w:sz w:val="21"/>
                <w:szCs w:val="21"/>
                <w:highlight w:val="none"/>
                <w:lang w:val="en-US" w:eastAsia="zh-CN" w:bidi="ar-SA"/>
              </w:rPr>
              <w:t>年</w:t>
            </w:r>
            <w:r>
              <w:rPr>
                <w:rFonts w:hint="eastAsia" w:ascii="仿宋" w:hAnsi="仿宋" w:eastAsia="仿宋" w:cs="仿宋"/>
                <w:caps w:val="0"/>
                <w:color w:val="auto"/>
                <w:kern w:val="2"/>
                <w:sz w:val="21"/>
                <w:szCs w:val="21"/>
                <w:highlight w:val="none"/>
                <w:lang w:val="en-US" w:eastAsia="zh-CN" w:bidi="ar-SA"/>
              </w:rPr>
              <w:t>06</w:t>
            </w:r>
            <w:r>
              <w:rPr>
                <w:rFonts w:hint="default" w:ascii="仿宋" w:hAnsi="仿宋" w:eastAsia="仿宋" w:cs="仿宋"/>
                <w:caps w:val="0"/>
                <w:color w:val="auto"/>
                <w:kern w:val="2"/>
                <w:sz w:val="21"/>
                <w:szCs w:val="21"/>
                <w:highlight w:val="none"/>
                <w:lang w:val="en-US" w:eastAsia="zh-CN" w:bidi="ar-SA"/>
              </w:rPr>
              <w:t>月</w:t>
            </w:r>
            <w:r>
              <w:rPr>
                <w:rFonts w:hint="eastAsia" w:ascii="仿宋" w:hAnsi="仿宋" w:eastAsia="仿宋" w:cs="仿宋"/>
                <w:caps w:val="0"/>
                <w:color w:val="auto"/>
                <w:kern w:val="2"/>
                <w:sz w:val="21"/>
                <w:szCs w:val="21"/>
                <w:highlight w:val="none"/>
                <w:lang w:val="en-US" w:eastAsia="zh-CN" w:bidi="ar-SA"/>
              </w:rPr>
              <w:t>12</w:t>
            </w:r>
            <w:r>
              <w:rPr>
                <w:rFonts w:hint="default" w:ascii="仿宋" w:hAnsi="仿宋" w:eastAsia="仿宋" w:cs="仿宋"/>
                <w:caps w:val="0"/>
                <w:color w:val="auto"/>
                <w:kern w:val="2"/>
                <w:sz w:val="21"/>
                <w:szCs w:val="21"/>
                <w:highlight w:val="none"/>
                <w:lang w:val="en-US" w:eastAsia="zh-CN" w:bidi="ar-SA"/>
              </w:rPr>
              <w:t>日</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企业性质</w:t>
            </w:r>
            <w:r>
              <w:rPr>
                <w:rFonts w:hint="eastAsia" w:ascii="仿宋" w:hAnsi="仿宋" w:eastAsia="仿宋" w:cs="仿宋"/>
                <w:caps w:val="0"/>
                <w:color w:val="auto"/>
                <w:kern w:val="2"/>
                <w:sz w:val="21"/>
                <w:szCs w:val="21"/>
                <w:highlight w:val="none"/>
                <w:lang w:val="en-US" w:eastAsia="zh-CN" w:bidi="ar-SA"/>
              </w:rPr>
              <w:t>为个人</w:t>
            </w:r>
            <w:r>
              <w:rPr>
                <w:rFonts w:hint="default" w:ascii="仿宋" w:hAnsi="仿宋" w:eastAsia="仿宋" w:cs="仿宋"/>
                <w:caps w:val="0"/>
                <w:color w:val="auto"/>
                <w:kern w:val="2"/>
                <w:sz w:val="21"/>
                <w:szCs w:val="21"/>
                <w:highlight w:val="none"/>
                <w:lang w:val="en-US" w:eastAsia="zh-CN" w:bidi="ar-SA"/>
              </w:rPr>
              <w:t>独资企业</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法人代表</w:t>
            </w:r>
            <w:r>
              <w:rPr>
                <w:rFonts w:hint="eastAsia" w:ascii="仿宋" w:hAnsi="仿宋" w:eastAsia="仿宋" w:cs="仿宋"/>
                <w:caps w:val="0"/>
                <w:color w:val="auto"/>
                <w:kern w:val="2"/>
                <w:sz w:val="21"/>
                <w:szCs w:val="21"/>
                <w:highlight w:val="none"/>
                <w:lang w:val="en-US" w:eastAsia="zh-CN" w:bidi="ar-SA"/>
              </w:rPr>
              <w:t>：王晓萍，</w:t>
            </w:r>
            <w:r>
              <w:rPr>
                <w:rFonts w:hint="default" w:ascii="仿宋" w:hAnsi="仿宋" w:eastAsia="仿宋" w:cs="仿宋"/>
                <w:caps w:val="0"/>
                <w:color w:val="auto"/>
                <w:kern w:val="2"/>
                <w:sz w:val="21"/>
                <w:szCs w:val="21"/>
                <w:highlight w:val="none"/>
                <w:lang w:val="en-US" w:eastAsia="zh-CN" w:bidi="ar-SA"/>
              </w:rPr>
              <w:t>公司地址：甘肃省白银市景泰县</w:t>
            </w:r>
            <w:r>
              <w:rPr>
                <w:rFonts w:hint="eastAsia" w:ascii="仿宋" w:hAnsi="仿宋" w:eastAsia="仿宋" w:cs="仿宋"/>
                <w:caps w:val="0"/>
                <w:color w:val="auto"/>
                <w:kern w:val="2"/>
                <w:sz w:val="21"/>
                <w:szCs w:val="21"/>
                <w:highlight w:val="none"/>
                <w:lang w:val="en-US" w:eastAsia="zh-CN" w:bidi="ar-SA"/>
              </w:rPr>
              <w:t>一条山镇</w:t>
            </w:r>
            <w:r>
              <w:rPr>
                <w:rFonts w:hint="default" w:ascii="仿宋" w:hAnsi="仿宋" w:eastAsia="仿宋" w:cs="仿宋"/>
                <w:caps w:val="0"/>
                <w:color w:val="auto"/>
                <w:kern w:val="2"/>
                <w:sz w:val="21"/>
                <w:szCs w:val="21"/>
                <w:highlight w:val="none"/>
                <w:lang w:val="en-US" w:eastAsia="zh-CN" w:bidi="ar-SA"/>
              </w:rPr>
              <w:t>人民路</w:t>
            </w:r>
            <w:r>
              <w:rPr>
                <w:rFonts w:hint="eastAsia" w:ascii="仿宋" w:hAnsi="仿宋" w:eastAsia="仿宋" w:cs="仿宋"/>
                <w:caps w:val="0"/>
                <w:color w:val="auto"/>
                <w:kern w:val="2"/>
                <w:sz w:val="21"/>
                <w:szCs w:val="21"/>
                <w:highlight w:val="none"/>
                <w:lang w:val="en-US" w:eastAsia="zh-CN" w:bidi="ar-SA"/>
              </w:rPr>
              <w:t>89号，</w:t>
            </w:r>
            <w:r>
              <w:rPr>
                <w:rFonts w:hint="default" w:ascii="仿宋" w:hAnsi="仿宋" w:eastAsia="仿宋" w:cs="仿宋"/>
                <w:caps w:val="0"/>
                <w:color w:val="auto"/>
                <w:kern w:val="2"/>
                <w:sz w:val="21"/>
                <w:szCs w:val="21"/>
                <w:highlight w:val="none"/>
                <w:lang w:val="en-US" w:eastAsia="zh-CN" w:bidi="ar-SA"/>
              </w:rPr>
              <w:t>经营范围：铁矿</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水泥用粘土</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石灰岩矿</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冶金用石英岩采掘</w:t>
            </w:r>
            <w:r>
              <w:rPr>
                <w:rFonts w:hint="eastAsia" w:ascii="仿宋" w:hAnsi="仿宋" w:eastAsia="仿宋" w:cs="仿宋"/>
                <w:caps w:val="0"/>
                <w:color w:val="auto"/>
                <w:kern w:val="2"/>
                <w:sz w:val="21"/>
                <w:szCs w:val="21"/>
                <w:highlight w:val="none"/>
                <w:lang w:val="en-US" w:eastAsia="zh-CN" w:bidi="ar-SA"/>
              </w:rPr>
              <w:t>、</w:t>
            </w:r>
            <w:r>
              <w:rPr>
                <w:rFonts w:hint="default" w:ascii="仿宋" w:hAnsi="仿宋" w:eastAsia="仿宋" w:cs="仿宋"/>
                <w:caps w:val="0"/>
                <w:color w:val="auto"/>
                <w:kern w:val="2"/>
                <w:sz w:val="21"/>
                <w:szCs w:val="21"/>
                <w:highlight w:val="none"/>
                <w:lang w:val="en-US" w:eastAsia="zh-CN" w:bidi="ar-SA"/>
              </w:rPr>
              <w:t>销售等。企业统一社会信息代码：91620423</w:t>
            </w:r>
            <w:r>
              <w:rPr>
                <w:rFonts w:hint="eastAsia" w:ascii="仿宋" w:hAnsi="仿宋" w:eastAsia="仿宋" w:cs="仿宋"/>
                <w:caps w:val="0"/>
                <w:color w:val="auto"/>
                <w:kern w:val="2"/>
                <w:sz w:val="21"/>
                <w:szCs w:val="21"/>
                <w:highlight w:val="none"/>
                <w:lang w:val="en-US" w:eastAsia="zh-CN" w:bidi="ar-SA"/>
              </w:rPr>
              <w:t>7190997500</w:t>
            </w:r>
            <w:r>
              <w:rPr>
                <w:rFonts w:hint="default" w:ascii="仿宋" w:hAnsi="仿宋" w:eastAsia="仿宋" w:cs="仿宋"/>
                <w:caps w:val="0"/>
                <w:color w:val="auto"/>
                <w:kern w:val="2"/>
                <w:sz w:val="21"/>
                <w:szCs w:val="21"/>
                <w:highlight w:val="none"/>
                <w:lang w:val="en-US" w:eastAsia="zh-CN" w:bidi="ar-SA"/>
              </w:rPr>
              <w:t>；采矿许可证号</w:t>
            </w:r>
            <w:r>
              <w:rPr>
                <w:rFonts w:hint="eastAsia" w:ascii="仿宋" w:hAnsi="仿宋" w:eastAsia="仿宋" w:cs="仿宋"/>
                <w:caps w:val="0"/>
                <w:color w:val="auto"/>
                <w:kern w:val="2"/>
                <w:sz w:val="21"/>
                <w:szCs w:val="21"/>
                <w:highlight w:val="none"/>
                <w:lang w:val="en-US" w:eastAsia="zh-CN" w:bidi="ar-SA"/>
              </w:rPr>
              <w:t>C6204002009067110032789。</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aps w:val="0"/>
                <w:color w:val="auto"/>
                <w:kern w:val="2"/>
                <w:sz w:val="21"/>
                <w:szCs w:val="21"/>
                <w:highlight w:val="none"/>
                <w:lang w:val="en-US" w:eastAsia="zh-CN" w:bidi="ar-SA"/>
              </w:rPr>
            </w:pPr>
            <w:bookmarkStart w:id="1" w:name="_Toc185403055"/>
            <w:bookmarkStart w:id="2" w:name="_Toc227490309"/>
            <w:bookmarkStart w:id="3" w:name="_Toc248381623"/>
            <w:r>
              <w:rPr>
                <w:rFonts w:hint="default" w:ascii="仿宋" w:hAnsi="仿宋" w:eastAsia="仿宋" w:cs="仿宋"/>
                <w:caps w:val="0"/>
                <w:color w:val="auto"/>
                <w:kern w:val="2"/>
                <w:sz w:val="21"/>
                <w:szCs w:val="21"/>
                <w:highlight w:val="none"/>
                <w:lang w:val="en-US" w:eastAsia="zh-CN" w:bidi="ar-SA"/>
              </w:rPr>
              <w:t>景泰县位于甘肃省中部，东临黄河，西接武威，南邻白银、兰州，北依宁夏、内蒙古，地处黄土高原与腾格里沙漠过渡地带，为河西走廊东端门户。地处东经103°33′~104°43´，北纬36°43´~37°38´。南距省会兰州 161 公里、距白银市89公里。南接 白银、兰州，东临黄河，北依宁夏、内蒙古，西接武威。</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aps w:val="0"/>
                <w:color w:val="auto"/>
                <w:kern w:val="2"/>
                <w:sz w:val="21"/>
                <w:szCs w:val="21"/>
                <w:highlight w:val="none"/>
                <w:lang w:val="en-US" w:eastAsia="zh-CN" w:bidi="ar-SA"/>
              </w:rPr>
            </w:pPr>
            <w:r>
              <w:rPr>
                <w:rFonts w:hint="eastAsia" w:ascii="仿宋" w:hAnsi="仿宋" w:eastAsia="仿宋" w:cs="仿宋"/>
                <w:caps w:val="0"/>
                <w:color w:val="auto"/>
                <w:kern w:val="2"/>
                <w:sz w:val="21"/>
                <w:szCs w:val="21"/>
                <w:highlight w:val="none"/>
                <w:lang w:val="en-US" w:eastAsia="zh-CN" w:bidi="ar-SA"/>
              </w:rPr>
              <w:t>景泰县上沙沃镇李白茨水水泥用配料粘土矿位于景泰县境内，行政区划属景泰县上沙沃镇管辖。本项目选址位于景泰县上沙沃镇白茨水村东北侧6.8km处，东南直距景泰县23km，西北直距武威市约145公里，东北距中卫市约133公里，南距白银市约95公里。本项目南距G2012线8.0km，有矿区道路与白茨水村乡村公路相接，白茨水村乡村公路向东南与X141县道相接。</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aps w:val="0"/>
                <w:color w:val="auto"/>
                <w:kern w:val="2"/>
                <w:sz w:val="21"/>
                <w:szCs w:val="21"/>
                <w:highlight w:val="none"/>
                <w:lang w:val="en-US" w:eastAsia="zh-CN" w:bidi="ar-SA"/>
              </w:rPr>
            </w:pPr>
            <w:r>
              <w:rPr>
                <w:rFonts w:hint="default" w:ascii="仿宋" w:hAnsi="仿宋" w:eastAsia="仿宋" w:cs="仿宋"/>
                <w:caps w:val="0"/>
                <w:color w:val="auto"/>
                <w:kern w:val="2"/>
                <w:sz w:val="21"/>
                <w:szCs w:val="21"/>
                <w:highlight w:val="none"/>
                <w:lang w:val="en-US" w:eastAsia="zh-CN" w:bidi="ar-SA"/>
              </w:rPr>
              <w:t>矿区有简易公路通向外界，可通行载重汽车，交通较为便利</w:t>
            </w:r>
            <w:r>
              <w:rPr>
                <w:rFonts w:hint="eastAsia" w:ascii="仿宋" w:hAnsi="仿宋" w:eastAsia="仿宋" w:cs="仿宋"/>
                <w:caps w:val="0"/>
                <w:color w:val="auto"/>
                <w:kern w:val="2"/>
                <w:sz w:val="21"/>
                <w:szCs w:val="21"/>
                <w:highlight w:val="none"/>
                <w:lang w:val="en-US" w:eastAsia="zh-CN" w:bidi="ar-SA"/>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olor w:val="auto"/>
                <w:sz w:val="21"/>
                <w:szCs w:val="21"/>
                <w:highlight w:val="none"/>
                <w:lang w:eastAsia="zh-CN"/>
              </w:rPr>
              <w:t>景泰县金源铁矿景泰县上沙沃镇李白茨水水泥用配料粘土矿采矿许可证，划定采区范围由</w:t>
            </w:r>
            <w:r>
              <w:rPr>
                <w:rFonts w:hint="eastAsia" w:ascii="仿宋" w:hAnsi="仿宋" w:eastAsia="仿宋" w:cs="仿宋"/>
                <w:color w:val="auto"/>
                <w:sz w:val="21"/>
                <w:szCs w:val="21"/>
                <w:highlight w:val="none"/>
                <w:lang w:val="en-US" w:eastAsia="zh-CN"/>
              </w:rPr>
              <w:t>8个</w:t>
            </w:r>
            <w:r>
              <w:rPr>
                <w:rFonts w:hint="eastAsia" w:ascii="仿宋" w:hAnsi="仿宋" w:eastAsia="仿宋" w:cs="仿宋"/>
                <w:color w:val="auto"/>
                <w:sz w:val="21"/>
                <w:szCs w:val="21"/>
                <w:highlight w:val="none"/>
                <w:lang w:eastAsia="zh-CN"/>
              </w:rPr>
              <w:t>拐点圈闭，标高从</w:t>
            </w:r>
            <w:r>
              <w:rPr>
                <w:rFonts w:hint="eastAsia" w:ascii="仿宋" w:hAnsi="仿宋" w:eastAsia="仿宋" w:cs="仿宋"/>
                <w:color w:val="auto"/>
                <w:sz w:val="21"/>
                <w:szCs w:val="21"/>
                <w:highlight w:val="none"/>
                <w:lang w:val="en-US" w:eastAsia="zh-CN"/>
              </w:rPr>
              <w:t>2095米至1980米</w:t>
            </w:r>
            <w:r>
              <w:rPr>
                <w:rFonts w:hint="eastAsia" w:ascii="仿宋" w:hAnsi="仿宋" w:eastAsia="仿宋" w:cs="仿宋"/>
                <w:color w:val="auto"/>
                <w:sz w:val="21"/>
                <w:szCs w:val="21"/>
                <w:highlight w:val="none"/>
                <w:lang w:eastAsia="zh-CN"/>
              </w:rPr>
              <w:t>。矿区核准开采深度为</w:t>
            </w:r>
            <w:r>
              <w:rPr>
                <w:rFonts w:hint="eastAsia" w:ascii="仿宋" w:hAnsi="仿宋" w:eastAsia="仿宋" w:cs="仿宋"/>
                <w:color w:val="auto"/>
                <w:sz w:val="21"/>
                <w:szCs w:val="21"/>
                <w:highlight w:val="none"/>
                <w:lang w:val="en-US" w:eastAsia="zh-CN"/>
              </w:rPr>
              <w:t>2095米至1980</w:t>
            </w:r>
            <w:r>
              <w:rPr>
                <w:rFonts w:hint="eastAsia" w:ascii="仿宋" w:hAnsi="仿宋" w:eastAsia="仿宋" w:cs="仿宋"/>
                <w:color w:val="auto"/>
                <w:sz w:val="21"/>
                <w:szCs w:val="21"/>
                <w:highlight w:val="none"/>
                <w:lang w:eastAsia="zh-CN"/>
              </w:rPr>
              <w:t>米，开采深度</w:t>
            </w:r>
            <w:r>
              <w:rPr>
                <w:rFonts w:hint="eastAsia" w:ascii="仿宋" w:hAnsi="仿宋" w:eastAsia="仿宋" w:cs="仿宋"/>
                <w:color w:val="auto"/>
                <w:sz w:val="21"/>
                <w:szCs w:val="21"/>
                <w:highlight w:val="none"/>
                <w:lang w:val="en-US" w:eastAsia="zh-CN"/>
              </w:rPr>
              <w:t>115</w:t>
            </w:r>
            <w:r>
              <w:rPr>
                <w:rFonts w:hint="eastAsia" w:ascii="仿宋" w:hAnsi="仿宋" w:eastAsia="仿宋" w:cs="仿宋"/>
                <w:caps w:val="0"/>
                <w:color w:val="auto"/>
                <w:kern w:val="2"/>
                <w:sz w:val="22"/>
                <w:szCs w:val="22"/>
                <w:highlight w:val="none"/>
                <w:lang w:val="en-US" w:eastAsia="zh-CN" w:bidi="ar-SA"/>
              </w:rPr>
              <w:t>m</w:t>
            </w:r>
            <w:r>
              <w:rPr>
                <w:rFonts w:hint="eastAsia" w:ascii="仿宋" w:hAnsi="仿宋" w:eastAsia="仿宋" w:cs="仿宋"/>
                <w:color w:val="auto"/>
                <w:sz w:val="21"/>
                <w:szCs w:val="21"/>
                <w:highlight w:val="none"/>
                <w:lang w:eastAsia="zh-CN"/>
              </w:rPr>
              <w:t>，开采面积</w:t>
            </w:r>
            <w:r>
              <w:rPr>
                <w:rFonts w:hint="eastAsia" w:ascii="仿宋" w:hAnsi="仿宋" w:eastAsia="仿宋" w:cs="仿宋"/>
                <w:color w:val="auto"/>
                <w:sz w:val="21"/>
                <w:szCs w:val="21"/>
                <w:highlight w:val="none"/>
                <w:lang w:val="en-US" w:eastAsia="zh-CN"/>
              </w:rPr>
              <w:t>1.9218</w:t>
            </w:r>
            <w:r>
              <w:rPr>
                <w:rFonts w:hint="eastAsia" w:ascii="仿宋" w:hAnsi="仿宋" w:eastAsia="仿宋" w:cs="仿宋"/>
                <w:caps w:val="0"/>
                <w:color w:val="auto"/>
                <w:kern w:val="2"/>
                <w:sz w:val="22"/>
                <w:szCs w:val="22"/>
                <w:highlight w:val="none"/>
                <w:lang w:val="en-US" w:eastAsia="zh-CN" w:bidi="ar-SA"/>
              </w:rPr>
              <w:t>km</w:t>
            </w:r>
            <w:r>
              <w:rPr>
                <w:rFonts w:hint="eastAsia" w:ascii="仿宋" w:hAnsi="仿宋" w:eastAsia="仿宋" w:cs="仿宋"/>
                <w:color w:val="auto"/>
                <w:sz w:val="21"/>
                <w:szCs w:val="21"/>
                <w:highlight w:val="none"/>
                <w:vertAlign w:val="superscript"/>
                <w:lang w:eastAsia="zh-CN"/>
              </w:rPr>
              <w:t>2</w:t>
            </w:r>
            <w:r>
              <w:rPr>
                <w:rFonts w:hint="eastAsia" w:ascii="仿宋" w:hAnsi="仿宋" w:eastAsia="仿宋" w:cs="宋体"/>
                <w:bCs/>
                <w:color w:val="auto"/>
                <w:szCs w:val="21"/>
                <w:lang w:val="zh-CN"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aps w:val="0"/>
                <w:color w:val="auto"/>
                <w:sz w:val="21"/>
                <w:szCs w:val="21"/>
                <w:highlight w:val="none"/>
              </w:rPr>
              <w:t>矿区周边500m范围内没有居民区、学校、厂矿企业及其他生产单位等人员密集区，也无需要保护的自然风景区、重要水源地、名胜古迹、地表水体、河流及其它重要设施，矿山生产对周边环境影响较小</w:t>
            </w:r>
            <w:r>
              <w:rPr>
                <w:rFonts w:hint="eastAsia" w:ascii="仿宋" w:hAnsi="仿宋" w:eastAsia="仿宋" w:cs="仿宋"/>
                <w:caps w:val="0"/>
                <w:color w:val="auto"/>
                <w:sz w:val="21"/>
                <w:szCs w:val="21"/>
                <w:highlight w:val="none"/>
                <w:lang w:eastAsia="zh-CN"/>
              </w:rPr>
              <w:t>。</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color w:val="auto"/>
                <w:szCs w:val="21"/>
                <w:lang w:eastAsia="zh-CN"/>
              </w:rPr>
              <w:drawing>
                <wp:anchor distT="0" distB="0" distL="114300" distR="114300" simplePos="0" relativeHeight="251658240" behindDoc="1" locked="0" layoutInCell="1" allowOverlap="1">
                  <wp:simplePos x="0" y="0"/>
                  <wp:positionH relativeFrom="column">
                    <wp:posOffset>-36830</wp:posOffset>
                  </wp:positionH>
                  <wp:positionV relativeFrom="paragraph">
                    <wp:posOffset>234315</wp:posOffset>
                  </wp:positionV>
                  <wp:extent cx="2561590" cy="1872615"/>
                  <wp:effectExtent l="0" t="0" r="10160" b="13335"/>
                  <wp:wrapNone/>
                  <wp:docPr id="1" name="图片 1" descr="3a1eea755d7e146d37a00c61e052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a1eea755d7e146d37a00c61e052773"/>
                          <pic:cNvPicPr>
                            <a:picLocks noChangeAspect="1"/>
                          </pic:cNvPicPr>
                        </pic:nvPicPr>
                        <pic:blipFill>
                          <a:blip r:embed="rId4"/>
                          <a:stretch>
                            <a:fillRect/>
                          </a:stretch>
                        </pic:blipFill>
                        <pic:spPr>
                          <a:xfrm>
                            <a:off x="0" y="0"/>
                            <a:ext cx="2561590" cy="1872615"/>
                          </a:xfrm>
                          <a:prstGeom prst="rect">
                            <a:avLst/>
                          </a:prstGeom>
                        </pic:spPr>
                      </pic:pic>
                    </a:graphicData>
                  </a:graphic>
                </wp:anchor>
              </w:drawing>
            </w:r>
            <w:r>
              <w:rPr>
                <w:rFonts w:hint="eastAsia" w:eastAsiaTheme="minorEastAsia"/>
                <w:lang w:eastAsia="zh-CN"/>
              </w:rPr>
              <w:drawing>
                <wp:anchor distT="0" distB="0" distL="114300" distR="114300" simplePos="0" relativeHeight="251659264" behindDoc="1" locked="0" layoutInCell="1" allowOverlap="1">
                  <wp:simplePos x="0" y="0"/>
                  <wp:positionH relativeFrom="column">
                    <wp:posOffset>2574290</wp:posOffset>
                  </wp:positionH>
                  <wp:positionV relativeFrom="paragraph">
                    <wp:posOffset>233680</wp:posOffset>
                  </wp:positionV>
                  <wp:extent cx="2965450" cy="1869440"/>
                  <wp:effectExtent l="0" t="0" r="6350" b="16510"/>
                  <wp:wrapNone/>
                  <wp:docPr id="3" name="图片 3" descr="e1e1c4b3c903e642d58ec2ef89981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1e1c4b3c903e642d58ec2ef89981d8"/>
                          <pic:cNvPicPr>
                            <a:picLocks noChangeAspect="1"/>
                          </pic:cNvPicPr>
                        </pic:nvPicPr>
                        <pic:blipFill>
                          <a:blip r:embed="rId5"/>
                          <a:stretch>
                            <a:fillRect/>
                          </a:stretch>
                        </pic:blipFill>
                        <pic:spPr>
                          <a:xfrm>
                            <a:off x="0" y="0"/>
                            <a:ext cx="2965450" cy="1869440"/>
                          </a:xfrm>
                          <a:prstGeom prst="rect">
                            <a:avLst/>
                          </a:prstGeom>
                        </pic:spPr>
                      </pic:pic>
                    </a:graphicData>
                  </a:graphic>
                </wp:anchor>
              </w:drawing>
            </w: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spacing w:line="240" w:lineRule="auto"/>
              <w:rPr>
                <w:rFonts w:ascii="仿宋" w:hAnsi="仿宋" w:eastAsia="仿宋"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69"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907"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9" w:type="dxa"/>
            <w:vMerge w:val="continue"/>
            <w:vAlign w:val="center"/>
          </w:tcPr>
          <w:p>
            <w:pPr>
              <w:spacing w:line="500" w:lineRule="exact"/>
              <w:jc w:val="center"/>
              <w:rPr>
                <w:rFonts w:ascii="仿宋" w:hAnsi="仿宋" w:eastAsia="仿宋"/>
                <w:color w:val="auto"/>
                <w:szCs w:val="21"/>
              </w:rPr>
            </w:pPr>
          </w:p>
        </w:tc>
        <w:tc>
          <w:tcPr>
            <w:tcW w:w="1907" w:type="dxa"/>
            <w:gridSpan w:val="2"/>
            <w:vAlign w:val="center"/>
          </w:tcPr>
          <w:p>
            <w:pPr>
              <w:spacing w:line="3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白建明、李如香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3</w:t>
            </w:r>
            <w:r>
              <w:rPr>
                <w:rFonts w:ascii="仿宋" w:hAnsi="仿宋" w:eastAsia="仿宋"/>
                <w:color w:val="auto"/>
                <w:szCs w:val="21"/>
              </w:rPr>
              <w:t>.</w:t>
            </w:r>
            <w:r>
              <w:rPr>
                <w:rFonts w:hint="eastAsia" w:ascii="仿宋" w:hAnsi="仿宋" w:eastAsia="仿宋"/>
                <w:color w:val="auto"/>
                <w:szCs w:val="21"/>
                <w:lang w:val="en-US" w:eastAsia="zh-CN"/>
              </w:rPr>
              <w:t>24</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spacing w:line="300" w:lineRule="exact"/>
              <w:jc w:val="left"/>
              <w:rPr>
                <w:rFonts w:hint="eastAsia" w:ascii="仿宋" w:hAnsi="仿宋" w:eastAsia="仿宋"/>
                <w:color w:val="auto"/>
                <w:szCs w:val="21"/>
              </w:rPr>
            </w:pPr>
            <w:r>
              <w:rPr>
                <w:rFonts w:hint="eastAsia" w:ascii="仿宋" w:hAnsi="仿宋" w:eastAsia="仿宋"/>
                <w:color w:val="auto"/>
                <w:szCs w:val="21"/>
              </w:rPr>
              <w:t>1）</w:t>
            </w:r>
            <w:r>
              <w:rPr>
                <w:rFonts w:hint="eastAsia" w:ascii="仿宋" w:hAnsi="仿宋" w:eastAsia="仿宋"/>
                <w:color w:val="auto"/>
                <w:szCs w:val="21"/>
                <w:lang w:val="en-US" w:eastAsia="zh-CN"/>
              </w:rPr>
              <w:t>矿山没有设置避炮设施</w:t>
            </w:r>
            <w:r>
              <w:rPr>
                <w:rFonts w:hint="eastAsia" w:ascii="仿宋" w:hAnsi="仿宋" w:eastAsia="仿宋"/>
                <w:color w:val="auto"/>
                <w:szCs w:val="21"/>
              </w:rPr>
              <w:t>；</w:t>
            </w:r>
          </w:p>
          <w:p>
            <w:pPr>
              <w:numPr>
                <w:ilvl w:val="0"/>
                <w:numId w:val="0"/>
              </w:numPr>
              <w:rPr>
                <w:rFonts w:hint="eastAsia" w:ascii="仿宋" w:hAnsi="仿宋" w:eastAsia="仿宋"/>
                <w:color w:val="auto"/>
                <w:szCs w:val="21"/>
                <w:lang w:val="en-US" w:eastAsia="zh-CN"/>
              </w:rPr>
            </w:pPr>
            <w:r>
              <w:rPr>
                <w:rFonts w:hint="eastAsia" w:ascii="仿宋" w:hAnsi="仿宋" w:eastAsia="仿宋"/>
                <w:color w:val="auto"/>
                <w:szCs w:val="21"/>
                <w:lang w:val="en-US" w:eastAsia="zh-CN"/>
              </w:rPr>
              <w:t>2</w:t>
            </w:r>
            <w:r>
              <w:rPr>
                <w:rFonts w:hint="eastAsia" w:ascii="仿宋" w:hAnsi="仿宋" w:eastAsia="仿宋"/>
                <w:color w:val="auto"/>
                <w:szCs w:val="21"/>
              </w:rPr>
              <w:t>）</w:t>
            </w:r>
            <w:r>
              <w:rPr>
                <w:rFonts w:hint="eastAsia" w:ascii="仿宋" w:hAnsi="仿宋" w:eastAsia="仿宋"/>
                <w:color w:val="auto"/>
                <w:szCs w:val="21"/>
                <w:lang w:val="en-US" w:eastAsia="zh-CN"/>
              </w:rPr>
              <w:t>配电室没有安装应急照明灯。</w:t>
            </w:r>
          </w:p>
          <w:p>
            <w:pPr>
              <w:spacing w:line="300" w:lineRule="exact"/>
              <w:jc w:val="left"/>
              <w:rPr>
                <w:rFonts w:hint="eastAsia" w:ascii="仿宋" w:hAnsi="仿宋" w:eastAsia="仿宋"/>
                <w:color w:val="auto"/>
                <w:szCs w:val="21"/>
                <w:lang w:val="en-US" w:eastAsia="zh-CN"/>
              </w:rPr>
            </w:pPr>
            <w:r>
              <w:rPr>
                <w:rFonts w:hint="eastAsia" w:ascii="仿宋" w:hAnsi="仿宋" w:eastAsia="仿宋"/>
                <w:color w:val="auto"/>
                <w:szCs w:val="21"/>
                <w:lang w:val="en-US" w:eastAsia="zh-CN"/>
              </w:rPr>
              <w:t>3)配电室的开关没有再绝缘板上安装。</w:t>
            </w:r>
          </w:p>
          <w:p>
            <w:pPr>
              <w:spacing w:line="300" w:lineRule="exact"/>
              <w:jc w:val="left"/>
              <w:rPr>
                <w:rFonts w:hint="eastAsia" w:ascii="仿宋" w:hAnsi="仿宋" w:eastAsia="仿宋"/>
                <w:color w:val="auto"/>
                <w:szCs w:val="21"/>
                <w:lang w:eastAsia="zh-CN"/>
              </w:rPr>
            </w:pP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5F2764"/>
    <w:rsid w:val="595F2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 w:type="paragraph" w:customStyle="1" w:styleId="5">
    <w:name w:val="003"/>
    <w:basedOn w:val="1"/>
    <w:qFormat/>
    <w:uiPriority w:val="99"/>
    <w:pPr>
      <w:spacing w:line="480" w:lineRule="exact"/>
      <w:ind w:firstLine="480" w:firstLineChars="200"/>
    </w:pPr>
    <w:rPr>
      <w:rFonts w:ascii="宋体"/>
      <w:caps/>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2021-08-18T06:59:00Z</dcterms:created>
  <dc:creator>雷楠</dc:creator>
  <cp:lastModifiedBy>雷楠</cp:lastModifiedBy>
  <dcterms:modified xsi:type="dcterms:W3CDTF">2021-08-18T06:59:41Z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