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51"/>
        <w:gridCol w:w="598"/>
        <w:gridCol w:w="594"/>
        <w:gridCol w:w="403"/>
        <w:gridCol w:w="601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kern w:val="0"/>
                <w:szCs w:val="21"/>
              </w:rPr>
            </w:pPr>
            <w:r>
              <w:rPr>
                <w:rFonts w:ascii="仿宋" w:hAnsi="仿宋" w:eastAsia="仿宋"/>
                <w:color w:val="auto"/>
                <w:kern w:val="0"/>
                <w:szCs w:val="21"/>
              </w:rPr>
              <w:t>天津市</w:t>
            </w: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嘉运</w:t>
            </w:r>
            <w:r>
              <w:rPr>
                <w:rFonts w:ascii="仿宋" w:hAnsi="仿宋" w:eastAsia="仿宋"/>
                <w:color w:val="auto"/>
                <w:kern w:val="0"/>
                <w:szCs w:val="21"/>
              </w:rPr>
              <w:t>标准润滑油有限公司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kern w:val="0"/>
                <w:szCs w:val="21"/>
              </w:rPr>
            </w:pPr>
            <w:r>
              <w:rPr>
                <w:rFonts w:ascii="仿宋" w:hAnsi="仿宋" w:eastAsia="仿宋"/>
                <w:color w:val="auto"/>
                <w:kern w:val="0"/>
                <w:szCs w:val="21"/>
              </w:rPr>
              <w:t>天津市</w:t>
            </w: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嘉运</w:t>
            </w:r>
            <w:r>
              <w:rPr>
                <w:rFonts w:ascii="仿宋" w:hAnsi="仿宋" w:eastAsia="仿宋"/>
                <w:color w:val="auto"/>
                <w:kern w:val="0"/>
                <w:szCs w:val="21"/>
              </w:rPr>
              <w:t>标准润滑油有限公司嘉运加气站扩建工程安全预评价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√预评价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35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李伟</w:t>
            </w:r>
          </w:p>
        </w:tc>
        <w:tc>
          <w:tcPr>
            <w:tcW w:w="235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2021.9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1800000000201223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化工工艺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0800000000304234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土木工程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1100000000301652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019246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自动化（仪表）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1700000000201153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019235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安全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S011053000110202001767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机械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1600000000201291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019237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火炸药、安全</w:t>
            </w:r>
          </w:p>
        </w:tc>
        <w:tc>
          <w:tcPr>
            <w:tcW w:w="2944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3"/>
              <w:adjustRightInd w:val="0"/>
              <w:snapToGrid w:val="0"/>
              <w:spacing w:after="0"/>
              <w:ind w:left="0" w:leftChars="0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</w:rPr>
              <w:t>扩建嘉运加油与CNG加气合建站的加气站部分，原加油加气合建站为二级站，改建后为加油加气（LNG、L-CNG）合建站一级站。</w:t>
            </w:r>
          </w:p>
          <w:p>
            <w:pPr>
              <w:pStyle w:val="3"/>
              <w:adjustRightInd w:val="0"/>
              <w:snapToGrid w:val="0"/>
              <w:spacing w:after="0"/>
              <w:ind w:left="0" w:leftChars="0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 w:eastAsia="宋体"/>
                <w:color w:val="auto"/>
                <w:lang w:eastAsia="zh-CN"/>
              </w:rPr>
              <w:drawing>
                <wp:inline distT="0" distB="0" distL="114300" distR="114300">
                  <wp:extent cx="5303520" cy="2804795"/>
                  <wp:effectExtent l="0" t="0" r="11430" b="14605"/>
                  <wp:docPr id="1" name="图片 1" descr="38d527ad300d6f77e844791571b8cd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8d527ad300d6f77e844791571b8cd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b="59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0" cy="2804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i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i/>
                <w:color w:val="auto"/>
                <w:szCs w:val="21"/>
              </w:rPr>
              <w:t>勘验人员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59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63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李伟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2021.8.12</w:t>
            </w:r>
          </w:p>
        </w:tc>
        <w:tc>
          <w:tcPr>
            <w:tcW w:w="159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周边环境、总平面布置、安全管理情况等</w:t>
            </w:r>
          </w:p>
        </w:tc>
        <w:tc>
          <w:tcPr>
            <w:tcW w:w="3639" w:type="dxa"/>
            <w:gridSpan w:val="5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南侧洪祥工贸有限公司平房、站区外东南角电力线杆为计划拆除，现场勘查时还未拆除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67AF7"/>
    <w:rsid w:val="6BF6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2021-09-29T07:39:00Z</dcterms:created>
  <dc:creator>雷楠</dc:creator>
  <cp:lastModifiedBy>雷楠</cp:lastModifiedBy>
  <dcterms:modified xsi:type="dcterms:W3CDTF">2021-09-29T07:39:39Z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6FF1CF2B95F54E3F9CB77B7BCEF1BD6B</vt:lpwstr>
  </property>
</Properties>
</file>