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重庆同诚新建材有限公司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重庆同诚新建材有限公司合川区双凤镇保合村四社建筑石料用灰岩矿（新建）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2022.6</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color w:val="000000"/>
                <w:szCs w:val="28"/>
              </w:rPr>
            </w:pPr>
            <w:r>
              <w:rPr>
                <w:color w:val="000000"/>
                <w:szCs w:val="28"/>
              </w:rPr>
              <w:t>重庆同诚新建材有限公司成立于2011年6月1日，经济类型属有限责任公司，营业执照证号：91500117MA610AX22Y，法定代表人为周晓欣，经营范围：矿产资源（非煤矿山）开采；建筑用石加工，新型建筑材料制造，选矿，矿物洗选加工。</w:t>
            </w:r>
          </w:p>
          <w:p>
            <w:pPr>
              <w:ind w:firstLine="560"/>
              <w:rPr>
                <w:color w:val="000000"/>
                <w:szCs w:val="28"/>
              </w:rPr>
            </w:pPr>
            <w:r>
              <w:rPr>
                <w:rFonts w:hint="eastAsia"/>
                <w:color w:val="000000"/>
                <w:szCs w:val="28"/>
              </w:rPr>
              <w:t>重庆建合石粉有限责任公司拟在</w:t>
            </w:r>
            <w:r>
              <w:rPr>
                <w:color w:val="000000"/>
                <w:szCs w:val="28"/>
              </w:rPr>
              <w:t>合川区双凤镇保合村四社</w:t>
            </w:r>
            <w:r>
              <w:rPr>
                <w:rFonts w:hint="eastAsia"/>
                <w:color w:val="000000"/>
                <w:szCs w:val="28"/>
              </w:rPr>
              <w:t>设置矿权，</w:t>
            </w:r>
            <w:r>
              <w:rPr>
                <w:color w:val="000000"/>
                <w:szCs w:val="28"/>
              </w:rPr>
              <w:t>已通过相关部门的联合选址</w:t>
            </w:r>
            <w:r>
              <w:rPr>
                <w:rFonts w:hint="eastAsia"/>
                <w:color w:val="000000"/>
                <w:szCs w:val="28"/>
              </w:rPr>
              <w:t>，</w:t>
            </w:r>
            <w:r>
              <w:rPr>
                <w:color w:val="000000"/>
                <w:szCs w:val="28"/>
              </w:rPr>
              <w:t xml:space="preserve"> 2019年11月19日，重庆市规划和自然资源局以《关于下达合川区双凤镇保合村四社建筑石料用灰岩矿段采矿权出让计划的通知》（渝规资〔2019〕1133号）下达出让计划，重庆同诚新建材有限公司</w:t>
            </w:r>
            <w:r>
              <w:rPr>
                <w:rFonts w:hint="eastAsia"/>
                <w:color w:val="000000"/>
                <w:szCs w:val="28"/>
              </w:rPr>
              <w:t>通过招拍挂的形式取得了采矿权，于2020年12月10日与重庆市合川区规划和自然资源局签订了重庆市采矿权出让合同（渝采矿出字（2020）（合川）第6号）</w:t>
            </w:r>
            <w:r>
              <w:rPr>
                <w:color w:val="000000"/>
                <w:szCs w:val="28"/>
              </w:rPr>
              <w:t>。</w:t>
            </w:r>
          </w:p>
          <w:p>
            <w:pPr>
              <w:ind w:firstLine="560"/>
              <w:rPr>
                <w:rFonts w:hint="eastAsia"/>
                <w:color w:val="000000"/>
                <w:szCs w:val="28"/>
              </w:rPr>
            </w:pPr>
            <w:r>
              <w:rPr>
                <w:color w:val="000000"/>
                <w:szCs w:val="28"/>
              </w:rPr>
              <w:t>根据《建设项目安全设施“三同时”监督管理办法》（国家安全生产监督管理总局令第36号发布，国家安全生产监督管理总局令第77号修正）的要求，该项目应按照“新建”性质履行安全设施“三同时”程序。</w:t>
            </w:r>
          </w:p>
          <w:p>
            <w:pPr>
              <w:pStyle w:val="2"/>
              <w:ind w:firstLine="0"/>
              <w:rPr>
                <w:rFonts w:hint="eastAsia" w:hAnsi="宋体"/>
                <w:szCs w:val="21"/>
              </w:rPr>
            </w:pPr>
            <w:r>
              <w:rPr>
                <w:rFonts w:hint="eastAsia" w:hAnsi="宋体"/>
                <w:szCs w:val="21"/>
              </w:rPr>
              <w:t xml:space="preserve">   </w:t>
            </w:r>
          </w:p>
          <w:p>
            <w:pPr>
              <w:pStyle w:val="2"/>
              <w:ind w:firstLine="0"/>
              <w:jc w:val="left"/>
              <w:rPr>
                <w:rFonts w:hint="eastAsia" w:hAnsi="宋体"/>
                <w:szCs w:val="21"/>
              </w:rPr>
            </w:pPr>
            <w:r>
              <w:drawing>
                <wp:inline distT="0" distB="0" distL="114300" distR="114300">
                  <wp:extent cx="4038600" cy="17811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38600" cy="1781175"/>
                          </a:xfrm>
                          <a:prstGeom prst="rect">
                            <a:avLst/>
                          </a:prstGeom>
                          <a:noFill/>
                          <a:ln>
                            <a:noFill/>
                          </a:ln>
                        </pic:spPr>
                      </pic:pic>
                    </a:graphicData>
                  </a:graphic>
                </wp:inline>
              </w:drawing>
            </w:r>
          </w:p>
          <w:p>
            <w:pPr>
              <w:pStyle w:val="2"/>
              <w:ind w:firstLine="0"/>
              <w:rPr>
                <w:rFonts w:hint="eastAsia" w:hAnsi="宋体"/>
                <w:szCs w:val="21"/>
              </w:rPr>
            </w:pPr>
          </w:p>
          <w:p>
            <w:pPr>
              <w:pStyle w:val="2"/>
              <w:ind w:firstLine="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2022年3月28日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2022年3月28日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2648036B"/>
    <w:rsid w:val="26480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2022-07-12T08:34:00Z</dcterms:created>
  <dc:creator>雷楠</dc:creator>
  <cp:lastModifiedBy>雷楠</cp:lastModifiedBy>
  <dcterms:modified xsi:type="dcterms:W3CDTF">2022-07-12T08:34:53Z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1AFE5F27A6104114A50353E5FF84B63B</vt:lpwstr>
  </property>
</Properties>
</file>