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复兴地区兴页1HF、兴页L1HF试采配套地面工程安全预评价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="48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复兴地区兴页1HF、兴页L1HF试采配套地面工程新建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试采站1座，天然气处理规模5×10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4</w:t>
            </w:r>
            <w:r>
              <w:rPr>
                <w:rFonts w:hint="eastAsia" w:asciiTheme="minorEastAsia" w:hAnsiTheme="minorEastAsia" w:eastAsiaTheme="minorEastAsia"/>
                <w:sz w:val="24"/>
              </w:rPr>
              <w:t>m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/d，产出液处理规模150m</w:t>
            </w:r>
            <w:r>
              <w:rPr>
                <w:rFonts w:hint="eastAsia" w:asciiTheme="minorEastAsia" w:hAnsiTheme="minorEastAsia" w:eastAsiaTheme="minorEastAsia"/>
                <w:sz w:val="24"/>
                <w:vertAlign w:val="superscript"/>
              </w:rPr>
              <w:t>3</w:t>
            </w:r>
            <w:r>
              <w:rPr>
                <w:rFonts w:hint="eastAsia" w:asciiTheme="minorEastAsia" w:hAnsiTheme="minorEastAsia" w:eastAsiaTheme="minorEastAsia"/>
                <w:sz w:val="24"/>
              </w:rPr>
              <w:t>/d，集输工艺为：气井产物通过采气管线输送至加热炉进行加热节流后，经两相流量计一对一计量，进气液分离器进行气液分离，分离出的气相进行除油脱水脱烃处理后外销，分离出的油水混合物通过闪蒸分离，闪蒸天然气一部分作为加热炉燃料，分离出的油水混合物经三相分离器闪蒸分离，原油进原油罐沉降处理后采用罐车拉运外销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3438525" cy="2625090"/>
                  <wp:effectExtent l="0" t="0" r="9525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6349" cy="262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2022.6.16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347714C"/>
    <w:rsid w:val="6347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2022-09-16T01:58:00Z</dcterms:created>
  <dc:creator>雷楠</dc:creator>
  <cp:lastModifiedBy>雷楠</cp:lastModifiedBy>
  <dcterms:modified xsi:type="dcterms:W3CDTF">2022-09-16T01:58:51Z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BB7CAF0E8BAA4A8094C09A6F6DD32ED5</vt:lpwstr>
  </property>
</Properties>
</file>