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涪陵页岩气田焦石坝区块焦页34号扩中部气层开发调整井组安全预评价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hint="eastAsia"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涪陵页岩气田焦石坝区块焦页34号扩中部气层开发调整井组部署扩建平台2座，钻井8口，水平段长2500-3170米，平均水平段长2713米，</w:t>
            </w:r>
            <w:r>
              <w:rPr>
                <w:rFonts w:hAnsi="Times New Roman" w:cs="Arial"/>
                <w:color w:val="000000"/>
                <w:sz w:val="22"/>
              </w:rPr>
              <w:t>标定单井日产能力4.</w:t>
            </w:r>
            <w:r>
              <w:rPr>
                <w:rFonts w:hint="eastAsia" w:hAnsi="Times New Roman" w:cs="Arial"/>
                <w:color w:val="000000"/>
                <w:sz w:val="22"/>
              </w:rPr>
              <w:t>74×10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4</w:t>
            </w:r>
            <w:r>
              <w:rPr>
                <w:rFonts w:hint="eastAsia" w:hAnsi="Times New Roman" w:cs="Arial"/>
                <w:color w:val="000000"/>
                <w:sz w:val="22"/>
              </w:rPr>
              <w:t>m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color w:val="000000"/>
                <w:sz w:val="22"/>
              </w:rPr>
              <w:t>/d（按前3年平均年产量折算）</w:t>
            </w:r>
            <w:r>
              <w:rPr>
                <w:rFonts w:hAnsi="Times New Roman" w:cs="Arial"/>
                <w:color w:val="000000"/>
                <w:sz w:val="22"/>
              </w:rPr>
              <w:t>，新建产能</w:t>
            </w:r>
            <w:r>
              <w:rPr>
                <w:rFonts w:hint="eastAsia" w:hAnsi="Times New Roman" w:cs="Arial"/>
                <w:color w:val="000000"/>
                <w:sz w:val="22"/>
              </w:rPr>
              <w:t>1.25</w:t>
            </w:r>
            <w:r>
              <w:rPr>
                <w:rFonts w:hAnsi="Times New Roman" w:cs="Arial"/>
                <w:color w:val="000000"/>
                <w:sz w:val="22"/>
              </w:rPr>
              <w:t>亿方/年，新增可采储量</w:t>
            </w:r>
            <w:r>
              <w:rPr>
                <w:rFonts w:hint="eastAsia" w:hAnsi="Times New Roman" w:cs="Arial"/>
                <w:color w:val="000000"/>
                <w:sz w:val="22"/>
              </w:rPr>
              <w:t>6.45</w:t>
            </w:r>
            <w:r>
              <w:rPr>
                <w:rFonts w:hAnsi="Times New Roman" w:cs="Arial"/>
                <w:color w:val="000000"/>
                <w:sz w:val="22"/>
              </w:rPr>
              <w:t>亿方</w:t>
            </w:r>
            <w:r>
              <w:rPr>
                <w:rFonts w:hint="eastAsia" w:hAnsi="Times New Roman" w:cs="Arial"/>
                <w:color w:val="000000"/>
                <w:sz w:val="22"/>
              </w:rPr>
              <w:t>。</w:t>
            </w:r>
          </w:p>
          <w:p>
            <w:pPr>
              <w:spacing w:line="240" w:lineRule="auto"/>
              <w:ind w:firstLineChars="0"/>
              <w:rPr>
                <w:rFonts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地面工程主要依托焦石坝区块现有的集气站、集气管线、供电线路等主体工程实施。焦页34号平台扩建4口井，搬迁400KW水套炉1台、新增7具两相流量计。焦页44号平台扩建4口井，利旧站内400KW水套炉1台、新增12具两相流量计。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本工程钻井目的层</w:t>
            </w:r>
            <w:r>
              <w:rPr>
                <w:rFonts w:hAnsi="Times New Roman" w:cs="Arial"/>
                <w:color w:val="000000"/>
                <w:sz w:val="22"/>
              </w:rPr>
              <w:t>天然气</w:t>
            </w:r>
            <w:r>
              <w:rPr>
                <w:rFonts w:hint="eastAsia" w:hAnsi="Times New Roman" w:cs="Arial"/>
                <w:color w:val="000000"/>
                <w:sz w:val="22"/>
              </w:rPr>
              <w:t>以</w:t>
            </w:r>
            <w:r>
              <w:rPr>
                <w:rFonts w:hAnsi="Times New Roman" w:cs="Arial"/>
                <w:color w:val="000000"/>
                <w:sz w:val="22"/>
              </w:rPr>
              <w:t>甲烷含量为主，不含硫化氢。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676775" cy="3441065"/>
                  <wp:effectExtent l="0" t="0" r="9525" b="698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6775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2023.5.26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2023.5.26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OWY5YzM1NDI3YzQyNzQwNjJhYmFlNDBlZDM3NTcifQ=="/>
  </w:docVars>
  <w:rsids>
    <w:rsidRoot w:val="56521A86"/>
    <w:rsid w:val="5652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882</Characters>
  <Lines>0</Lines>
  <Paragraphs>0</Paragraphs>
  <TotalTime>0</TotalTime>
  <ScaleCrop>false</ScaleCrop>
  <LinksUpToDate>false</LinksUpToDate>
  <CharactersWithSpaces>898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2023-08-31T06:56:00Z</dcterms:created>
  <dc:creator>雷楠</dc:creator>
  <cp:lastModifiedBy>雷楠</cp:lastModifiedBy>
  <dcterms:modified xsi:type="dcterms:W3CDTF">2023-08-31T06:56:46Z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AF3EAA135BAD432B9381B46274980205_11</vt:lpwstr>
  </property>
</Properties>
</file>