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焦页67号井组立体开发调整地面工程安全验收评价报告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552002341140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</w:pPr>
            <w:r>
              <w:rPr>
                <w:rFonts w:hint="eastAsia"/>
              </w:rPr>
              <w:t>焦页67号井组立体开发调整地面工程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以下简称“本工程”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val="en-US" w:eastAsia="zh-CN"/>
              </w:rPr>
              <w:t>在67号扩平台的新建5口井（焦页67-4HF、焦页67-S1HF、焦页67-S2HF、焦页67-S3HF、焦页67-S4HF）。新部署的5口井平均单井产气量为4.94×104m3/d，新建产能0.79×108m3/a。</w:t>
            </w:r>
          </w:p>
          <w:p>
            <w:pPr>
              <w:ind w:firstLine="56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工程新建2台两相流量计、1座计量分离器橇。本次改造后，3口老井利用新建的2台两相流量计、1座计量分离器橇分离、计量，经计量分离器分离出的气体可通过过滤分离器消泡和二次计量后，进入压缩机增压后外输。5口新井利旧站内已建的3台加热炉加热节流，利用已建生产计量阀组、计量分离器、生产分离器进行分离、计量，经计量分离器分离出的气体可通过过滤分离器消泡和二次计量后，进入压缩机增压后外输。</w:t>
            </w:r>
          </w:p>
          <w:p>
            <w:pPr>
              <w:pStyle w:val="2"/>
              <w:keepNext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</w:pPr>
            <w:r>
              <w:drawing>
                <wp:inline distT="0" distB="0" distL="114300" distR="114300">
                  <wp:extent cx="4181475" cy="311467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1475" cy="311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22.9.7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3BD78FD"/>
    <w:rsid w:val="13BD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适应性分析（章内一级标题）"/>
    <w:unhideWhenUsed/>
    <w:qFormat/>
    <w:uiPriority w:val="0"/>
    <w:pPr>
      <w:keepNext/>
      <w:keepLines/>
      <w:adjustRightInd w:val="0"/>
      <w:snapToGrid w:val="0"/>
      <w:spacing w:line="400" w:lineRule="exact"/>
      <w:outlineLvl w:val="0"/>
    </w:pPr>
    <w:rPr>
      <w:rFonts w:ascii="宋体" w:hAnsi="宋体" w:eastAsia="宋体" w:cs="Times New Roman"/>
      <w:kern w:val="2"/>
      <w:sz w:val="3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628</Words>
  <Characters>943</Characters>
  <Lines>0</Lines>
  <Paragraphs>0</Paragraphs>
  <TotalTime>0</TotalTime>
  <ScaleCrop>false</ScaleCrop>
  <LinksUpToDate>false</LinksUpToDate>
  <CharactersWithSpaces>958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2023-09-01T02:02:00Z</dcterms:created>
  <dc:creator>雷楠</dc:creator>
  <cp:lastModifiedBy>雷楠</cp:lastModifiedBy>
  <dcterms:modified xsi:type="dcterms:W3CDTF">2023-09-01T02:03:03Z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38B4B96A641446F4AA434223D97C2C0C_11</vt:lpwstr>
  </property>
</Properties>
</file>