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834"/>
        <w:gridCol w:w="115"/>
        <w:gridCol w:w="311"/>
        <w:gridCol w:w="1287"/>
        <w:gridCol w:w="163"/>
        <w:gridCol w:w="392"/>
        <w:gridCol w:w="327"/>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6"/>
            <w:noWrap w:val="0"/>
            <w:vAlign w:val="center"/>
          </w:tcPr>
          <w:p>
            <w:pPr>
              <w:pStyle w:val="2"/>
              <w:spacing w:before="0" w:line="240" w:lineRule="exact"/>
              <w:ind w:left="0"/>
              <w:jc w:val="center"/>
              <w:rPr>
                <w:rFonts w:hint="eastAsia" w:cs="仿宋"/>
                <w:color w:val="000000"/>
                <w:szCs w:val="21"/>
              </w:rPr>
            </w:pPr>
            <w:r>
              <w:rPr>
                <w:rFonts w:hint="eastAsia" w:cs="仿宋"/>
                <w:spacing w:val="-14"/>
                <w:sz w:val="21"/>
                <w:szCs w:val="21"/>
                <w:lang w:eastAsia="zh-CN"/>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5"/>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pStyle w:val="2"/>
              <w:spacing w:before="0" w:line="240" w:lineRule="exact"/>
              <w:ind w:left="0"/>
              <w:jc w:val="center"/>
              <w:rPr>
                <w:rFonts w:cs="仿宋"/>
                <w:spacing w:val="-14"/>
                <w:sz w:val="21"/>
                <w:szCs w:val="21"/>
                <w:lang w:eastAsia="zh-CN"/>
              </w:rPr>
            </w:pPr>
            <w:r>
              <w:rPr>
                <w:rFonts w:cs="仿宋"/>
                <w:spacing w:val="-14"/>
                <w:sz w:val="21"/>
                <w:szCs w:val="21"/>
                <w:lang w:eastAsia="zh-CN"/>
              </w:rPr>
              <w:t>重庆天诚鑫矿业有限公司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pStyle w:val="2"/>
              <w:spacing w:before="0" w:line="276" w:lineRule="auto"/>
              <w:ind w:left="0"/>
              <w:jc w:val="center"/>
              <w:rPr>
                <w:rFonts w:cs="仿宋"/>
                <w:spacing w:val="-14"/>
                <w:sz w:val="21"/>
                <w:szCs w:val="21"/>
                <w:lang w:eastAsia="zh-CN"/>
              </w:rPr>
            </w:pPr>
            <w:r>
              <w:rPr>
                <w:rFonts w:cs="仿宋"/>
                <w:spacing w:val="-14"/>
                <w:sz w:val="21"/>
                <w:szCs w:val="21"/>
                <w:lang w:eastAsia="zh-CN"/>
              </w:rPr>
              <w:t>重庆天诚鑫矿业有限公司垫江县三溪镇箐口张家油房大坡顶建筑石料用灰岩矿（改建）</w:t>
            </w:r>
            <w:r>
              <w:rPr>
                <w:rFonts w:cs="仿宋"/>
                <w:color w:val="000000"/>
                <w:sz w:val="21"/>
                <w:szCs w:val="21"/>
                <w:lang w:eastAsia="zh-CN"/>
              </w:rPr>
              <w:t>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5"/>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5"/>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罗青海</w:t>
            </w:r>
          </w:p>
        </w:tc>
        <w:tc>
          <w:tcPr>
            <w:tcW w:w="2073" w:type="dxa"/>
            <w:gridSpan w:val="4"/>
            <w:noWrap w:val="0"/>
            <w:vAlign w:val="center"/>
          </w:tcPr>
          <w:p>
            <w:pPr>
              <w:pStyle w:val="2"/>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2023年</w:t>
            </w:r>
            <w:r>
              <w:rPr>
                <w:rFonts w:hint="eastAsia" w:cs="仿宋"/>
                <w:color w:val="000000"/>
                <w:spacing w:val="-14"/>
                <w:sz w:val="21"/>
                <w:szCs w:val="21"/>
                <w:lang w:val="en-US" w:eastAsia="zh-CN"/>
              </w:rPr>
              <w:t>9</w:t>
            </w:r>
            <w:r>
              <w:rPr>
                <w:rFonts w:hint="eastAsia" w:cs="仿宋"/>
                <w:color w:val="000000"/>
                <w:spacing w:val="-14"/>
                <w:sz w:val="21"/>
                <w:szCs w:val="21"/>
                <w:lang w:eastAsia="zh-CN"/>
              </w:rPr>
              <w:t>月</w:t>
            </w:r>
          </w:p>
        </w:tc>
        <w:tc>
          <w:tcPr>
            <w:tcW w:w="2169" w:type="dxa"/>
            <w:gridSpan w:val="4"/>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陈兴勇</w:t>
            </w:r>
          </w:p>
        </w:tc>
        <w:tc>
          <w:tcPr>
            <w:tcW w:w="2156" w:type="dxa"/>
            <w:gridSpan w:val="2"/>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662" w:type="dxa"/>
            <w:gridSpan w:val="5"/>
            <w:noWrap w:val="0"/>
            <w:vAlign w:val="center"/>
          </w:tcPr>
          <w:p>
            <w:pPr>
              <w:jc w:val="left"/>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3"/>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overflowPunct w:val="0"/>
              <w:spacing w:line="276" w:lineRule="auto"/>
              <w:ind w:firstLine="464" w:firstLineChars="221"/>
              <w:rPr>
                <w:rFonts w:ascii="仿宋" w:hAnsi="仿宋" w:eastAsia="仿宋" w:cs="Arial"/>
                <w:color w:val="000000"/>
                <w:szCs w:val="28"/>
              </w:rPr>
            </w:pPr>
            <w:r>
              <w:rPr>
                <w:rFonts w:ascii="仿宋" w:hAnsi="仿宋" w:eastAsia="仿宋" w:cs="Arial"/>
                <w:color w:val="000000"/>
                <w:szCs w:val="28"/>
              </w:rPr>
              <w:t>重庆天诚鑫矿业有限公司成立于201</w:t>
            </w:r>
            <w:r>
              <w:rPr>
                <w:rFonts w:hint="eastAsia" w:ascii="仿宋" w:hAnsi="仿宋" w:eastAsia="仿宋" w:cs="Arial"/>
                <w:color w:val="000000"/>
                <w:szCs w:val="28"/>
              </w:rPr>
              <w:t>2</w:t>
            </w:r>
            <w:r>
              <w:rPr>
                <w:rFonts w:ascii="仿宋" w:hAnsi="仿宋" w:eastAsia="仿宋" w:cs="Arial"/>
                <w:color w:val="000000"/>
                <w:szCs w:val="28"/>
              </w:rPr>
              <w:t>年</w:t>
            </w:r>
            <w:r>
              <w:rPr>
                <w:rFonts w:hint="eastAsia" w:ascii="仿宋" w:hAnsi="仿宋" w:eastAsia="仿宋" w:cs="Arial"/>
                <w:color w:val="000000"/>
                <w:szCs w:val="28"/>
              </w:rPr>
              <w:t>10</w:t>
            </w:r>
            <w:r>
              <w:rPr>
                <w:rFonts w:ascii="仿宋" w:hAnsi="仿宋" w:eastAsia="仿宋" w:cs="Arial"/>
                <w:color w:val="000000"/>
                <w:szCs w:val="28"/>
              </w:rPr>
              <w:t>月</w:t>
            </w:r>
            <w:r>
              <w:rPr>
                <w:rFonts w:hint="eastAsia" w:ascii="仿宋" w:hAnsi="仿宋" w:eastAsia="仿宋" w:cs="Arial"/>
                <w:color w:val="000000"/>
                <w:szCs w:val="28"/>
              </w:rPr>
              <w:t>18</w:t>
            </w:r>
            <w:r>
              <w:rPr>
                <w:rFonts w:ascii="仿宋" w:hAnsi="仿宋" w:eastAsia="仿宋" w:cs="Arial"/>
                <w:color w:val="000000"/>
                <w:szCs w:val="28"/>
              </w:rPr>
              <w:t>日，统一社会信用代码915002310548026230，经济类型为有限责任公司，法定代表人</w:t>
            </w:r>
            <w:r>
              <w:rPr>
                <w:rFonts w:hint="eastAsia" w:ascii="仿宋" w:hAnsi="仿宋" w:eastAsia="仿宋" w:cs="Arial"/>
                <w:color w:val="000000"/>
                <w:szCs w:val="28"/>
              </w:rPr>
              <w:t>夏宁</w:t>
            </w:r>
            <w:r>
              <w:rPr>
                <w:rFonts w:ascii="仿宋" w:hAnsi="仿宋" w:eastAsia="仿宋" w:cs="Arial"/>
                <w:color w:val="000000"/>
                <w:szCs w:val="28"/>
              </w:rPr>
              <w:t>，营业期限为2012年10月18日至永久，经营范围</w:t>
            </w:r>
            <w:r>
              <w:rPr>
                <w:rFonts w:hint="eastAsia" w:ascii="仿宋" w:hAnsi="仿宋" w:eastAsia="仿宋" w:cs="Arial"/>
                <w:color w:val="000000"/>
                <w:szCs w:val="28"/>
              </w:rPr>
              <w:t>露天</w:t>
            </w:r>
            <w:r>
              <w:rPr>
                <w:rFonts w:ascii="仿宋" w:hAnsi="仿宋" w:eastAsia="仿宋" w:cs="Arial"/>
                <w:color w:val="000000"/>
                <w:szCs w:val="28"/>
              </w:rPr>
              <w:t>开采建筑石</w:t>
            </w:r>
            <w:r>
              <w:rPr>
                <w:rFonts w:hint="eastAsia" w:ascii="仿宋" w:hAnsi="仿宋" w:eastAsia="仿宋" w:cs="Arial"/>
                <w:color w:val="000000"/>
                <w:szCs w:val="28"/>
              </w:rPr>
              <w:t>料</w:t>
            </w:r>
            <w:r>
              <w:rPr>
                <w:rFonts w:ascii="仿宋" w:hAnsi="仿宋" w:eastAsia="仿宋" w:cs="Arial"/>
                <w:color w:val="000000"/>
                <w:szCs w:val="28"/>
              </w:rPr>
              <w:t>用</w:t>
            </w:r>
            <w:r>
              <w:rPr>
                <w:rFonts w:hint="eastAsia" w:ascii="仿宋" w:hAnsi="仿宋" w:eastAsia="仿宋" w:cs="Arial"/>
                <w:color w:val="000000"/>
                <w:szCs w:val="28"/>
              </w:rPr>
              <w:t>灰岩</w:t>
            </w:r>
            <w:r>
              <w:rPr>
                <w:rFonts w:ascii="仿宋" w:hAnsi="仿宋" w:eastAsia="仿宋" w:cs="Arial"/>
                <w:color w:val="000000"/>
                <w:szCs w:val="28"/>
              </w:rPr>
              <w:t>、销售建筑材料等。</w:t>
            </w:r>
          </w:p>
          <w:p>
            <w:pPr>
              <w:overflowPunct w:val="0"/>
              <w:spacing w:line="276" w:lineRule="auto"/>
              <w:ind w:firstLine="464" w:firstLineChars="221"/>
              <w:rPr>
                <w:rFonts w:ascii="仿宋" w:hAnsi="仿宋" w:eastAsia="仿宋" w:cs="Arial"/>
                <w:color w:val="000000"/>
                <w:szCs w:val="28"/>
              </w:rPr>
            </w:pPr>
            <w:r>
              <w:rPr>
                <w:rFonts w:hint="eastAsia" w:ascii="仿宋" w:hAnsi="仿宋" w:eastAsia="仿宋" w:cs="Arial"/>
                <w:color w:val="000000"/>
                <w:szCs w:val="28"/>
              </w:rPr>
              <w:t>垫江县三溪镇箐口张家油房大坡顶建筑石料用灰岩矿为该公司所属矿山，采矿许可证号</w:t>
            </w:r>
            <w:r>
              <w:rPr>
                <w:rFonts w:ascii="仿宋" w:hAnsi="仿宋" w:eastAsia="仿宋" w:cs="Arial"/>
                <w:color w:val="000000"/>
                <w:szCs w:val="28"/>
              </w:rPr>
              <w:t>C500</w:t>
            </w:r>
            <w:r>
              <w:rPr>
                <w:rFonts w:hint="eastAsia" w:ascii="仿宋" w:hAnsi="仿宋" w:eastAsia="仿宋" w:cs="Arial"/>
                <w:color w:val="000000"/>
                <w:szCs w:val="28"/>
              </w:rPr>
              <w:t>2312013067130130929</w:t>
            </w:r>
            <w:r>
              <w:rPr>
                <w:rFonts w:ascii="仿宋" w:hAnsi="仿宋" w:eastAsia="仿宋" w:cs="Arial"/>
                <w:color w:val="000000"/>
                <w:szCs w:val="28"/>
              </w:rPr>
              <w:t>，生产能力</w:t>
            </w:r>
            <w:r>
              <w:rPr>
                <w:rFonts w:hint="eastAsia" w:ascii="仿宋" w:hAnsi="仿宋" w:eastAsia="仿宋" w:cs="Arial"/>
                <w:color w:val="000000"/>
                <w:szCs w:val="28"/>
              </w:rPr>
              <w:t>510kt</w:t>
            </w:r>
            <w:r>
              <w:rPr>
                <w:rFonts w:ascii="仿宋" w:hAnsi="仿宋" w:eastAsia="仿宋" w:cs="Arial"/>
                <w:color w:val="000000"/>
                <w:szCs w:val="28"/>
              </w:rPr>
              <w:t>/</w:t>
            </w:r>
            <w:r>
              <w:rPr>
                <w:rFonts w:hint="eastAsia" w:ascii="仿宋" w:hAnsi="仿宋" w:eastAsia="仿宋" w:cs="Arial"/>
                <w:color w:val="000000"/>
                <w:szCs w:val="28"/>
              </w:rPr>
              <w:t>a</w:t>
            </w:r>
            <w:r>
              <w:rPr>
                <w:rFonts w:ascii="仿宋" w:hAnsi="仿宋" w:eastAsia="仿宋" w:cs="Arial"/>
                <w:color w:val="000000"/>
                <w:szCs w:val="28"/>
              </w:rPr>
              <w:t>，有效</w:t>
            </w:r>
            <w:r>
              <w:rPr>
                <w:rFonts w:hint="eastAsia" w:ascii="仿宋" w:hAnsi="仿宋" w:eastAsia="仿宋" w:cs="Arial"/>
                <w:color w:val="000000"/>
                <w:szCs w:val="28"/>
              </w:rPr>
              <w:t>期限自</w:t>
            </w:r>
            <w:r>
              <w:rPr>
                <w:rFonts w:ascii="仿宋" w:hAnsi="仿宋" w:eastAsia="仿宋" w:cs="Arial"/>
                <w:color w:val="000000"/>
                <w:szCs w:val="28"/>
              </w:rPr>
              <w:t>20</w:t>
            </w:r>
            <w:r>
              <w:rPr>
                <w:rFonts w:hint="eastAsia" w:ascii="仿宋" w:hAnsi="仿宋" w:eastAsia="仿宋" w:cs="Arial"/>
                <w:color w:val="000000"/>
                <w:szCs w:val="28"/>
              </w:rPr>
              <w:t>20</w:t>
            </w:r>
            <w:r>
              <w:rPr>
                <w:rFonts w:ascii="仿宋" w:hAnsi="仿宋" w:eastAsia="仿宋" w:cs="Arial"/>
                <w:color w:val="000000"/>
                <w:szCs w:val="28"/>
              </w:rPr>
              <w:t>年</w:t>
            </w:r>
            <w:r>
              <w:rPr>
                <w:rFonts w:hint="eastAsia" w:ascii="仿宋" w:hAnsi="仿宋" w:eastAsia="仿宋" w:cs="Arial"/>
                <w:color w:val="000000"/>
                <w:szCs w:val="28"/>
              </w:rPr>
              <w:t>8</w:t>
            </w:r>
            <w:r>
              <w:rPr>
                <w:rFonts w:ascii="仿宋" w:hAnsi="仿宋" w:eastAsia="仿宋" w:cs="Arial"/>
                <w:color w:val="000000"/>
                <w:szCs w:val="28"/>
              </w:rPr>
              <w:t>月</w:t>
            </w:r>
            <w:r>
              <w:rPr>
                <w:rFonts w:hint="eastAsia" w:ascii="仿宋" w:hAnsi="仿宋" w:eastAsia="仿宋" w:cs="Arial"/>
                <w:color w:val="000000"/>
                <w:szCs w:val="28"/>
              </w:rPr>
              <w:t>12</w:t>
            </w:r>
            <w:r>
              <w:rPr>
                <w:rFonts w:ascii="仿宋" w:hAnsi="仿宋" w:eastAsia="仿宋" w:cs="Arial"/>
                <w:color w:val="000000"/>
                <w:szCs w:val="28"/>
              </w:rPr>
              <w:t>日至20</w:t>
            </w:r>
            <w:r>
              <w:rPr>
                <w:rFonts w:hint="eastAsia" w:ascii="仿宋" w:hAnsi="仿宋" w:eastAsia="仿宋" w:cs="Arial"/>
                <w:color w:val="000000"/>
                <w:szCs w:val="28"/>
              </w:rPr>
              <w:t>30</w:t>
            </w:r>
            <w:r>
              <w:rPr>
                <w:rFonts w:ascii="仿宋" w:hAnsi="仿宋" w:eastAsia="仿宋" w:cs="Arial"/>
                <w:color w:val="000000"/>
                <w:szCs w:val="28"/>
              </w:rPr>
              <w:t>年</w:t>
            </w:r>
            <w:r>
              <w:rPr>
                <w:rFonts w:hint="eastAsia" w:ascii="仿宋" w:hAnsi="仿宋" w:eastAsia="仿宋" w:cs="Arial"/>
                <w:color w:val="000000"/>
                <w:szCs w:val="28"/>
              </w:rPr>
              <w:t>3</w:t>
            </w:r>
            <w:r>
              <w:rPr>
                <w:rFonts w:ascii="仿宋" w:hAnsi="仿宋" w:eastAsia="仿宋" w:cs="Arial"/>
                <w:color w:val="000000"/>
                <w:szCs w:val="28"/>
              </w:rPr>
              <w:t>月</w:t>
            </w:r>
            <w:r>
              <w:rPr>
                <w:rFonts w:hint="eastAsia" w:ascii="仿宋" w:hAnsi="仿宋" w:eastAsia="仿宋" w:cs="Arial"/>
                <w:color w:val="000000"/>
                <w:szCs w:val="28"/>
              </w:rPr>
              <w:t>12</w:t>
            </w:r>
            <w:r>
              <w:rPr>
                <w:rFonts w:ascii="仿宋" w:hAnsi="仿宋" w:eastAsia="仿宋" w:cs="Arial"/>
                <w:color w:val="000000"/>
                <w:szCs w:val="28"/>
              </w:rPr>
              <w:t>日</w:t>
            </w:r>
            <w:r>
              <w:rPr>
                <w:rFonts w:hint="eastAsia" w:ascii="仿宋" w:hAnsi="仿宋" w:eastAsia="仿宋" w:cs="Arial"/>
                <w:color w:val="000000"/>
                <w:szCs w:val="28"/>
              </w:rPr>
              <w:t>；</w:t>
            </w:r>
            <w:r>
              <w:rPr>
                <w:rFonts w:ascii="仿宋" w:hAnsi="仿宋" w:eastAsia="仿宋" w:cs="Arial"/>
                <w:color w:val="000000"/>
                <w:szCs w:val="28"/>
              </w:rPr>
              <w:t>安全生产许可证编号：（渝）FM安许证字〔20</w:t>
            </w:r>
            <w:r>
              <w:rPr>
                <w:rFonts w:hint="eastAsia" w:ascii="仿宋" w:hAnsi="仿宋" w:eastAsia="仿宋" w:cs="Arial"/>
                <w:color w:val="000000"/>
                <w:szCs w:val="28"/>
              </w:rPr>
              <w:t>20</w:t>
            </w:r>
            <w:r>
              <w:rPr>
                <w:rFonts w:ascii="仿宋" w:hAnsi="仿宋" w:eastAsia="仿宋" w:cs="Arial"/>
                <w:color w:val="000000"/>
                <w:szCs w:val="28"/>
              </w:rPr>
              <w:t>〕垫江延</w:t>
            </w:r>
            <w:r>
              <w:rPr>
                <w:rFonts w:hint="eastAsia" w:ascii="仿宋" w:hAnsi="仿宋" w:eastAsia="仿宋" w:cs="Arial"/>
                <w:color w:val="000000"/>
                <w:szCs w:val="28"/>
              </w:rPr>
              <w:t>290085</w:t>
            </w:r>
            <w:r>
              <w:rPr>
                <w:rFonts w:ascii="仿宋" w:hAnsi="仿宋" w:eastAsia="仿宋" w:cs="Arial"/>
                <w:color w:val="000000"/>
                <w:szCs w:val="28"/>
              </w:rPr>
              <w:t>号，有效期20</w:t>
            </w:r>
            <w:r>
              <w:rPr>
                <w:rFonts w:hint="eastAsia" w:ascii="仿宋" w:hAnsi="仿宋" w:eastAsia="仿宋" w:cs="Arial"/>
                <w:color w:val="000000"/>
                <w:szCs w:val="28"/>
              </w:rPr>
              <w:t>23</w:t>
            </w:r>
            <w:r>
              <w:rPr>
                <w:rFonts w:ascii="仿宋" w:hAnsi="仿宋" w:eastAsia="仿宋" w:cs="Arial"/>
                <w:color w:val="000000"/>
                <w:szCs w:val="28"/>
              </w:rPr>
              <w:t>年</w:t>
            </w:r>
            <w:r>
              <w:rPr>
                <w:rFonts w:hint="eastAsia" w:ascii="仿宋" w:hAnsi="仿宋" w:eastAsia="仿宋" w:cs="Arial"/>
                <w:color w:val="000000"/>
                <w:szCs w:val="28"/>
              </w:rPr>
              <w:t>8</w:t>
            </w:r>
            <w:r>
              <w:rPr>
                <w:rFonts w:ascii="仿宋" w:hAnsi="仿宋" w:eastAsia="仿宋" w:cs="Arial"/>
                <w:color w:val="000000"/>
                <w:szCs w:val="28"/>
              </w:rPr>
              <w:t>月</w:t>
            </w:r>
            <w:r>
              <w:rPr>
                <w:rFonts w:hint="eastAsia" w:ascii="仿宋" w:hAnsi="仿宋" w:eastAsia="仿宋" w:cs="Arial"/>
                <w:color w:val="000000"/>
                <w:szCs w:val="28"/>
              </w:rPr>
              <w:t>19</w:t>
            </w:r>
            <w:r>
              <w:rPr>
                <w:rFonts w:ascii="仿宋" w:hAnsi="仿宋" w:eastAsia="仿宋" w:cs="Arial"/>
                <w:color w:val="000000"/>
                <w:szCs w:val="28"/>
              </w:rPr>
              <w:t>日至202</w:t>
            </w:r>
            <w:r>
              <w:rPr>
                <w:rFonts w:hint="eastAsia" w:ascii="仿宋" w:hAnsi="仿宋" w:eastAsia="仿宋" w:cs="Arial"/>
                <w:color w:val="000000"/>
                <w:szCs w:val="28"/>
              </w:rPr>
              <w:t>6</w:t>
            </w:r>
            <w:r>
              <w:rPr>
                <w:rFonts w:ascii="仿宋" w:hAnsi="仿宋" w:eastAsia="仿宋" w:cs="Arial"/>
                <w:color w:val="000000"/>
                <w:szCs w:val="28"/>
              </w:rPr>
              <w:t>年</w:t>
            </w:r>
            <w:r>
              <w:rPr>
                <w:rFonts w:hint="eastAsia" w:ascii="仿宋" w:hAnsi="仿宋" w:eastAsia="仿宋" w:cs="Arial"/>
                <w:color w:val="000000"/>
                <w:szCs w:val="28"/>
              </w:rPr>
              <w:t>8</w:t>
            </w:r>
            <w:r>
              <w:rPr>
                <w:rFonts w:ascii="仿宋" w:hAnsi="仿宋" w:eastAsia="仿宋" w:cs="Arial"/>
                <w:color w:val="000000"/>
                <w:szCs w:val="28"/>
              </w:rPr>
              <w:t>月</w:t>
            </w:r>
            <w:r>
              <w:rPr>
                <w:rFonts w:hint="eastAsia" w:ascii="仿宋" w:hAnsi="仿宋" w:eastAsia="仿宋" w:cs="Arial"/>
                <w:color w:val="000000"/>
                <w:szCs w:val="28"/>
              </w:rPr>
              <w:t>18</w:t>
            </w:r>
            <w:r>
              <w:rPr>
                <w:rFonts w:ascii="仿宋" w:hAnsi="仿宋" w:eastAsia="仿宋" w:cs="Arial"/>
                <w:color w:val="000000"/>
                <w:szCs w:val="28"/>
              </w:rPr>
              <w:t>日</w:t>
            </w:r>
            <w:r>
              <w:rPr>
                <w:rFonts w:hint="eastAsia" w:ascii="仿宋" w:hAnsi="仿宋" w:eastAsia="仿宋" w:cs="Arial"/>
                <w:color w:val="000000"/>
                <w:szCs w:val="28"/>
              </w:rPr>
              <w:t>。</w:t>
            </w:r>
          </w:p>
          <w:p>
            <w:pPr>
              <w:overflowPunct w:val="0"/>
              <w:spacing w:line="276" w:lineRule="auto"/>
              <w:ind w:firstLine="464" w:firstLineChars="221"/>
              <w:rPr>
                <w:rFonts w:ascii="仿宋" w:hAnsi="仿宋" w:eastAsia="仿宋" w:cs="Arial"/>
                <w:color w:val="000000"/>
                <w:szCs w:val="28"/>
              </w:rPr>
            </w:pPr>
            <w:r>
              <w:rPr>
                <w:rFonts w:ascii="仿宋" w:hAnsi="仿宋" w:eastAsia="仿宋" w:cs="Arial"/>
                <w:color w:val="000000"/>
                <w:szCs w:val="28"/>
              </w:rPr>
              <w:t>矿山采用露天开采、台阶分层</w:t>
            </w:r>
            <w:r>
              <w:rPr>
                <w:rFonts w:hint="eastAsia" w:ascii="仿宋" w:hAnsi="仿宋" w:eastAsia="仿宋" w:cs="Arial"/>
                <w:color w:val="000000"/>
                <w:szCs w:val="28"/>
              </w:rPr>
              <w:t>方式</w:t>
            </w:r>
            <w:r>
              <w:rPr>
                <w:rFonts w:ascii="仿宋" w:hAnsi="仿宋" w:eastAsia="仿宋" w:cs="Arial"/>
                <w:color w:val="000000"/>
                <w:szCs w:val="28"/>
              </w:rPr>
              <w:t>采矿，</w:t>
            </w:r>
            <w:r>
              <w:rPr>
                <w:rFonts w:hint="eastAsia" w:ascii="仿宋" w:hAnsi="仿宋" w:eastAsia="仿宋" w:cs="Arial"/>
                <w:color w:val="000000"/>
                <w:szCs w:val="28"/>
              </w:rPr>
              <w:t>采用</w:t>
            </w:r>
            <w:r>
              <w:rPr>
                <w:rFonts w:ascii="仿宋" w:hAnsi="仿宋" w:eastAsia="仿宋" w:cs="Arial"/>
                <w:color w:val="000000"/>
                <w:szCs w:val="28"/>
              </w:rPr>
              <w:t>公路开拓、汽车运输方案</w:t>
            </w:r>
            <w:r>
              <w:rPr>
                <w:rFonts w:hint="eastAsia" w:ascii="仿宋" w:hAnsi="仿宋" w:eastAsia="仿宋" w:cs="Arial"/>
                <w:color w:val="000000"/>
                <w:szCs w:val="28"/>
              </w:rPr>
              <w:t>，矿山原设计仅开采矿区中部和南侧资源，现开采范围内资源即将枯竭。由于企业资源增划工作进展较慢，矿山即将面临无资源可采的状况；为了保持市场占有、防止企业员工流失，企业拟调整矿山开采范围，开采矿区北侧及北西侧排土场和堆料场压覆资源。</w:t>
            </w:r>
            <w:r>
              <w:rPr>
                <w:rFonts w:ascii="仿宋" w:hAnsi="仿宋" w:eastAsia="仿宋" w:cs="Arial"/>
                <w:color w:val="000000"/>
                <w:szCs w:val="28"/>
              </w:rPr>
              <w:t>根据《建设项目安全设施“三同时”监督管理办法》（原国家安全监管总局令〔2010〕第36号公布，原国家安全监管总局令〔2015〕第77号修正）</w:t>
            </w:r>
            <w:r>
              <w:rPr>
                <w:rFonts w:hint="eastAsia" w:ascii="仿宋" w:hAnsi="仿宋" w:eastAsia="仿宋" w:cs="Arial"/>
                <w:color w:val="000000"/>
                <w:szCs w:val="28"/>
              </w:rPr>
              <w:t>、</w:t>
            </w:r>
            <w:r>
              <w:rPr>
                <w:rFonts w:ascii="仿宋" w:hAnsi="仿宋" w:eastAsia="仿宋" w:cs="Arial"/>
                <w:color w:val="000000"/>
                <w:szCs w:val="28"/>
              </w:rPr>
              <w:t>《重庆市安全生产监督管理局关于进一步规范全市非煤矿山安全生产行政许可工作的通知》（原渝安监发〔2017〕49号）等有关规定，企业应按照</w:t>
            </w:r>
            <w:r>
              <w:rPr>
                <w:rFonts w:hint="eastAsia" w:ascii="仿宋" w:hAnsi="仿宋" w:eastAsia="仿宋" w:cs="Arial"/>
                <w:color w:val="000000"/>
                <w:szCs w:val="28"/>
              </w:rPr>
              <w:t>改建</w:t>
            </w:r>
            <w:r>
              <w:rPr>
                <w:rFonts w:ascii="仿宋" w:hAnsi="仿宋" w:eastAsia="仿宋" w:cs="Arial"/>
                <w:color w:val="000000"/>
                <w:szCs w:val="28"/>
              </w:rPr>
              <w:t>性质履行安全设施“三同时”程序。</w:t>
            </w:r>
          </w:p>
          <w:p>
            <w:pPr>
              <w:overflowPunct w:val="0"/>
              <w:spacing w:line="276" w:lineRule="auto"/>
              <w:ind w:firstLine="464" w:firstLineChars="221"/>
              <w:rPr>
                <w:rFonts w:hint="eastAsia" w:ascii="仿宋" w:hAnsi="仿宋" w:eastAsia="仿宋" w:cs="Arial"/>
                <w:color w:val="000000"/>
                <w:szCs w:val="28"/>
              </w:rPr>
            </w:pPr>
            <w:r>
              <w:rPr>
                <w:rFonts w:hint="eastAsia" w:ascii="仿宋" w:hAnsi="仿宋" w:eastAsia="仿宋" w:cs="Arial"/>
                <w:color w:val="000000"/>
                <w:szCs w:val="28"/>
              </w:rPr>
              <w:t>鉴于此</w:t>
            </w:r>
            <w:r>
              <w:rPr>
                <w:rFonts w:ascii="仿宋" w:hAnsi="仿宋" w:eastAsia="仿宋" w:cs="Arial"/>
                <w:color w:val="000000"/>
                <w:szCs w:val="28"/>
              </w:rPr>
              <w:t>，重庆天诚鑫矿业有限公司公司</w:t>
            </w:r>
            <w:r>
              <w:rPr>
                <w:rFonts w:hint="eastAsia" w:ascii="仿宋" w:hAnsi="仿宋" w:eastAsia="仿宋" w:cs="Arial"/>
                <w:color w:val="000000"/>
                <w:szCs w:val="28"/>
              </w:rPr>
              <w:t>于2023年8月委托</w:t>
            </w:r>
            <w:r>
              <w:rPr>
                <w:rFonts w:ascii="仿宋" w:hAnsi="仿宋" w:eastAsia="仿宋" w:cs="Arial"/>
                <w:color w:val="000000"/>
                <w:szCs w:val="28"/>
              </w:rPr>
              <w:t>重庆市安全生产科学研究有限公司对该矿山进行安全预评价。</w:t>
            </w:r>
          </w:p>
          <w:p>
            <w:pPr>
              <w:overflowPunct w:val="0"/>
              <w:spacing w:line="276" w:lineRule="auto"/>
              <w:ind w:firstLine="27" w:firstLineChars="13"/>
              <w:jc w:val="center"/>
              <w:rPr>
                <w:rFonts w:hint="eastAsia"/>
              </w:rPr>
            </w:pPr>
            <w:r>
              <w:drawing>
                <wp:inline distT="0" distB="0" distL="114300" distR="114300">
                  <wp:extent cx="4152900" cy="30003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30003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26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483"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98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2023年8月29日</w:t>
            </w:r>
          </w:p>
        </w:tc>
        <w:tc>
          <w:tcPr>
            <w:tcW w:w="226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1984" w:type="dxa"/>
            <w:gridSpan w:val="3"/>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2023年8月29日</w:t>
            </w:r>
          </w:p>
        </w:tc>
        <w:tc>
          <w:tcPr>
            <w:tcW w:w="226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C277391"/>
    <w:rsid w:val="7C277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2023-09-21T06:54:00Z</dcterms:created>
  <dc:creator>雷楠</dc:creator>
  <cp:lastModifiedBy>雷楠</cp:lastModifiedBy>
  <dcterms:modified xsi:type="dcterms:W3CDTF">2023-09-21T06:54:36Z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1F6FC863C5FD43BEB086981915D1D5E3</vt:lpwstr>
  </property>
</Properties>
</file>