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246"/>
      <w:bookmarkStart w:id="2" w:name="_Toc27661"/>
      <w:bookmarkStart w:id="3" w:name="_Toc29322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涪陵页岩气田凤来区块焦页176-1HF评价井安全预评价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2023.7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S011053000110192003183/035592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新建焦页176平台1座，新建1口井，并在焦页176平台新建集气站1座，集气站新增移动式除砂橇一套，利旧水套加热炉撬1台、，新增DN800分离器1具，采气管线采用BG L360Q-RCB SMLS PSL2材质，DN150放空立管1座，新建DN150放空立管1座。项目新建产能0.17亿方/年。以及与上述工程配套的防腐、自控、供配电、通信、给排水及消防、总图、建构筑物等公辅工程。本工程评价范围不包含CNG橇的建设以及CNG的装运及外销，本工程与第三方CNG销售公司的安全界面为贸易计量橇后法兰分界面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2863215" cy="3848735"/>
                  <wp:effectExtent l="0" t="0" r="13335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215" cy="3848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20230601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焦页176平台西南侧山坡应作地质勘查，并提供地勘报告，并根据地勘报告结论采取相应护坡措施。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20230601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站场应设置应急逃生门，逃生门不宜与主大门处于同一侧围墙(栏)上，应布置在通往井站外地势较高处和井站全年最小频率风向的下风侧。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6A1702E"/>
    <w:rsid w:val="16A1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672</Words>
  <Characters>976</Characters>
  <Lines>0</Lines>
  <Paragraphs>0</Paragraphs>
  <TotalTime>0</TotalTime>
  <ScaleCrop>false</ScaleCrop>
  <LinksUpToDate>false</LinksUpToDate>
  <CharactersWithSpaces>1000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2023-09-01T01:46:00Z</dcterms:created>
  <dc:creator>雷楠</dc:creator>
  <cp:lastModifiedBy>雷楠</cp:lastModifiedBy>
  <dcterms:modified xsi:type="dcterms:W3CDTF">2023-09-01T01:46:10Z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93D16CF45062456E90E9297715301CC5_11</vt:lpwstr>
  </property>
</Properties>
</file>