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重庆市万州区渝达矿业有限公司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重庆市万州区渝达矿业有限公司太吉采石场砂岩矿山（扩建）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3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8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徐茂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</w:t>
            </w:r>
            <w:r>
              <w:rPr>
                <w:rFonts w:hint="eastAsia" w:ascii="仿宋" w:hAnsi="仿宋" w:eastAsia="仿宋" w:cs="Arial"/>
                <w:szCs w:val="28"/>
              </w:rPr>
              <w:t>重庆市万州区渝达矿业有限公司注册时间为2009年3月24日，统一社会信用代码：91500101686220787W，法定代表人：段周勇，公司位于重庆市万州区罗田镇新华村，经济类型属有限责任公司，经营范围：露天开采砂岩；销售碎石、机制砂；加工、销售石材等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公司所属砂岩矿山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重庆市万州区渝达矿业有限公司太吉采石场</w:t>
            </w:r>
            <w:r>
              <w:rPr>
                <w:rFonts w:hint="eastAsia" w:ascii="仿宋" w:hAnsi="仿宋" w:eastAsia="仿宋" w:cs="Arial"/>
                <w:szCs w:val="28"/>
              </w:rPr>
              <w:t>，矿区范围由4个拐点闭合圈定，矿区面积0.0604km</w:t>
            </w:r>
            <w:r>
              <w:rPr>
                <w:rFonts w:hint="eastAsia" w:ascii="仿宋" w:hAnsi="仿宋" w:eastAsia="仿宋" w:cs="Arial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Arial"/>
                <w:szCs w:val="28"/>
              </w:rPr>
              <w:t>，开采标高+1065m～+945m，生产规模为20万吨/年，露天开采砂岩。企业于2</w:t>
            </w:r>
            <w:r>
              <w:rPr>
                <w:rFonts w:ascii="仿宋" w:hAnsi="仿宋" w:eastAsia="仿宋" w:cs="Arial"/>
                <w:szCs w:val="28"/>
              </w:rPr>
              <w:t>019</w:t>
            </w:r>
            <w:r>
              <w:rPr>
                <w:rFonts w:hint="eastAsia" w:ascii="仿宋" w:hAnsi="仿宋" w:eastAsia="仿宋" w:cs="Arial"/>
                <w:szCs w:val="28"/>
              </w:rPr>
              <w:t>年申请将原生产规模20万吨/年扩大至51万吨/年，矿区范围及开采标高未发生变化。并取得扩建后的采矿许可证，因矿区土地租用和林地手续以及资金原因，项目一直未能启动建设</w:t>
            </w:r>
            <w:r>
              <w:rPr>
                <w:rFonts w:ascii="仿宋" w:hAnsi="仿宋" w:eastAsia="仿宋" w:cs="仿宋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现已将上述问题处理完毕。</w:t>
            </w:r>
          </w:p>
          <w:p>
            <w:pPr>
              <w:adjustRightInd w:val="0"/>
              <w:snapToGrid w:val="0"/>
              <w:spacing w:line="276" w:lineRule="auto"/>
              <w:ind w:firstLine="210" w:firstLineChars="1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根据《建设项目安全设施“三同时”监督管理办法》等有关规定，矿山建设项目应按扩建性质履行建设项目安全设施 “三同时”程序。</w:t>
            </w:r>
            <w:r>
              <w:rPr>
                <w:rFonts w:hint="eastAsia" w:ascii="仿宋" w:hAnsi="仿宋" w:eastAsia="仿宋" w:cs="仿宋"/>
                <w:szCs w:val="21"/>
              </w:rPr>
              <w:t>鉴于此，重庆市万州区渝达矿业有限公司于202</w:t>
            </w:r>
            <w:r>
              <w:rPr>
                <w:rFonts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7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月委托重庆市安全生产科学研究有限公司对该矿山进行安全预评价。</w:t>
            </w:r>
          </w:p>
          <w:p>
            <w:pPr>
              <w:pStyle w:val="2"/>
              <w:ind w:firstLine="24"/>
            </w:pPr>
          </w:p>
          <w:p>
            <w:pPr>
              <w:adjustRightInd w:val="0"/>
              <w:snapToGrid w:val="0"/>
              <w:spacing w:line="360" w:lineRule="auto"/>
              <w:rPr>
                <w:rFonts w:ascii="宋体"/>
              </w:rPr>
            </w:pPr>
            <w:r>
              <w:drawing>
                <wp:inline distT="0" distB="0" distL="114300" distR="114300">
                  <wp:extent cx="4152900" cy="36385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3638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eastAsia="Times New Roman"/>
                <w:snapToGrid w:val="0"/>
                <w:color w:val="000000"/>
                <w:w w:val="0"/>
                <w:kern w:val="0"/>
                <w:sz w:val="0"/>
                <w:szCs w:val="0"/>
                <w:u w:val="none" w:color="000000"/>
                <w:shd w:val="clear" w:color="000000" w:fill="00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3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7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17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年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7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17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1CE12F2"/>
    <w:rsid w:val="01E07299"/>
    <w:rsid w:val="11CE1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799</Words>
  <Characters>988</Characters>
  <Lines>0</Lines>
  <Paragraphs>0</Paragraphs>
  <TotalTime>0</TotalTime>
  <ScaleCrop>false</ScaleCrop>
  <LinksUpToDate>false</LinksUpToDate>
  <CharactersWithSpaces>1011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2023-09-05T03:11:00Z</dcterms:created>
  <dc:creator>雷楠</dc:creator>
  <cp:lastModifiedBy>雷楠</cp:lastModifiedBy>
  <dcterms:modified xsi:type="dcterms:W3CDTF">2023-09-05T03:12:17Z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BF27F79560F2443E99904AFF7982FD72_11</vt:lpwstr>
  </property>
</Properties>
</file>