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宋体"/>
          <w:b/>
          <w:color w:val="000000" w:themeColor="text1"/>
          <w:sz w:val="28"/>
          <w14:textFill>
            <w14:solidFill>
              <w14:schemeClr w14:val="tx1"/>
            </w14:solidFill>
          </w14:textFill>
        </w:rPr>
      </w:pPr>
      <w:bookmarkStart w:id="0" w:name="_Toc24090"/>
      <w:bookmarkStart w:id="1" w:name="_Toc16246"/>
      <w:bookmarkStart w:id="2" w:name="_Toc29322"/>
      <w:bookmarkStart w:id="3" w:name="_Toc27661"/>
      <w:bookmarkStart w:id="4" w:name="_Toc16094"/>
      <w:r>
        <w:rPr>
          <w:rFonts w:hint="eastAsia" w:ascii="宋体" w:hAnsi="宋体" w:eastAsia="宋体" w:cs="宋体"/>
          <w:b/>
          <w:color w:val="000000" w:themeColor="text1"/>
          <w:sz w:val="28"/>
          <w14:textFill>
            <w14:solidFill>
              <w14:schemeClr w14:val="tx1"/>
            </w14:solidFill>
          </w14:textFill>
        </w:rPr>
        <w:t>安全评价报告信息公布表</w:t>
      </w:r>
      <w:bookmarkEnd w:id="0"/>
      <w:bookmarkEnd w:id="1"/>
      <w:bookmarkEnd w:id="2"/>
      <w:bookmarkEnd w:id="3"/>
      <w:bookmarkEnd w:id="4"/>
    </w:p>
    <w:tbl>
      <w:tblPr>
        <w:tblStyle w:val="5"/>
        <w:tblW w:w="10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67"/>
        <w:gridCol w:w="430"/>
        <w:gridCol w:w="813"/>
        <w:gridCol w:w="449"/>
        <w:gridCol w:w="660"/>
        <w:gridCol w:w="956"/>
        <w:gridCol w:w="382"/>
        <w:gridCol w:w="263"/>
        <w:gridCol w:w="238"/>
        <w:gridCol w:w="481"/>
        <w:gridCol w:w="493"/>
        <w:gridCol w:w="1663"/>
        <w:gridCol w:w="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机构名称</w:t>
            </w:r>
          </w:p>
        </w:tc>
        <w:tc>
          <w:tcPr>
            <w:tcW w:w="3436"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重庆市安全生产科学研究有限公司</w:t>
            </w:r>
          </w:p>
        </w:tc>
        <w:tc>
          <w:tcPr>
            <w:tcW w:w="161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资质证号</w:t>
            </w:r>
          </w:p>
        </w:tc>
        <w:tc>
          <w:tcPr>
            <w:tcW w:w="352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ind w:firstLine="1155" w:firstLineChars="55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委托单位</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kern w:val="0"/>
                <w14:textFill>
                  <w14:solidFill>
                    <w14:schemeClr w14:val="tx1"/>
                  </w14:solidFill>
                </w14:textFill>
              </w:rPr>
            </w:pPr>
            <w:r>
              <w:rPr>
                <w:rFonts w:hint="default" w:ascii="宋体" w:hAnsi="宋体" w:eastAsia="宋体" w:cs="宋体"/>
                <w:color w:val="000000" w:themeColor="text1"/>
                <w:kern w:val="0"/>
                <w14:textFill>
                  <w14:solidFill>
                    <w14:schemeClr w14:val="tx1"/>
                  </w14:solidFill>
                </w14:textFill>
              </w:rPr>
              <w:t>重庆建峰化工股份有限公司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项目名称</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合成氨弛放气循环回收利用项目安全验收评价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项目类别</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sym w:font="Wingdings 2" w:char="00A3"/>
            </w:r>
            <w:r>
              <w:rPr>
                <w:rFonts w:hint="eastAsia" w:ascii="宋体" w:hAnsi="宋体" w:eastAsia="宋体" w:cs="宋体"/>
                <w:color w:val="000000" w:themeColor="text1"/>
                <w14:textFill>
                  <w14:solidFill>
                    <w14:schemeClr w14:val="tx1"/>
                  </w14:solidFill>
                </w14:textFill>
              </w:rPr>
              <w:t xml:space="preserve">预评价   □现状评价    </w:t>
            </w:r>
            <w:r>
              <w:rPr>
                <w:rFonts w:hint="eastAsia" w:ascii="宋体" w:hAnsi="宋体" w:eastAsia="宋体" w:cs="宋体"/>
                <w:color w:val="000000" w:themeColor="text1"/>
                <w14:textFill>
                  <w14:solidFill>
                    <w14:schemeClr w14:val="tx1"/>
                  </w14:solidFill>
                </w14:textFill>
              </w:rPr>
              <w:sym w:font="Wingdings 2" w:char="0052"/>
            </w:r>
            <w:r>
              <w:rPr>
                <w:rFonts w:hint="eastAsia" w:ascii="宋体" w:hAnsi="宋体" w:eastAsia="宋体" w:cs="宋体"/>
                <w:color w:val="000000" w:themeColor="text1"/>
                <w14:textFill>
                  <w14:solidFill>
                    <w14:schemeClr w14:val="tx1"/>
                  </w14:solidFill>
                </w14:textFill>
              </w:rPr>
              <w:t xml:space="preserve">验收评价    </w:t>
            </w:r>
            <w:r>
              <w:rPr>
                <w:rFonts w:hint="eastAsia" w:ascii="宋体" w:hAnsi="宋体" w:eastAsia="宋体" w:cs="宋体"/>
                <w:color w:val="000000" w:themeColor="text1"/>
                <w14:textFill>
                  <w14:solidFill>
                    <w14:schemeClr w14:val="tx1"/>
                  </w14:solidFill>
                </w14:textFill>
              </w:rPr>
              <w:sym w:font="Wingdings 2" w:char="00A3"/>
            </w:r>
            <w:r>
              <w:rPr>
                <w:rFonts w:hint="eastAsia" w:ascii="宋体" w:hAnsi="宋体" w:eastAsia="宋体" w:cs="宋体"/>
                <w:color w:val="000000" w:themeColor="text1"/>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206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所属业务类别</w:t>
            </w:r>
          </w:p>
        </w:tc>
        <w:tc>
          <w:tcPr>
            <w:tcW w:w="7895" w:type="dxa"/>
            <w:gridSpan w:val="12"/>
            <w:tcBorders>
              <w:top w:val="single" w:color="auto" w:sz="4" w:space="0"/>
              <w:left w:val="single" w:color="auto" w:sz="4" w:space="0"/>
              <w:bottom w:val="single" w:color="auto" w:sz="4" w:space="0"/>
              <w:right w:val="single" w:color="auto" w:sz="4" w:space="0"/>
              <w:tl2br w:val="nil"/>
              <w:tr2bl w:val="nil"/>
            </w:tcBorders>
          </w:tcPr>
          <w:p>
            <w:pPr>
              <w:spacing w:line="240" w:lineRule="auto"/>
              <w:ind w:firstLine="2310" w:firstLineChars="11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危化生产企业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9962" w:type="dxa"/>
            <w:gridSpan w:val="1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项目组组长</w:t>
            </w:r>
          </w:p>
        </w:tc>
        <w:tc>
          <w:tcPr>
            <w:tcW w:w="2710"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技术负责人</w:t>
            </w:r>
          </w:p>
        </w:tc>
        <w:tc>
          <w:tcPr>
            <w:tcW w:w="2875"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王  梅</w:t>
            </w:r>
          </w:p>
        </w:tc>
        <w:tc>
          <w:tcPr>
            <w:tcW w:w="2710"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刘国勇</w:t>
            </w:r>
          </w:p>
        </w:tc>
        <w:tc>
          <w:tcPr>
            <w:tcW w:w="2875"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报告编制人</w:t>
            </w:r>
          </w:p>
        </w:tc>
        <w:tc>
          <w:tcPr>
            <w:tcW w:w="2878"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报告提交日期</w:t>
            </w:r>
          </w:p>
        </w:tc>
        <w:tc>
          <w:tcPr>
            <w:tcW w:w="1364"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张圣菊</w:t>
            </w:r>
          </w:p>
        </w:tc>
        <w:tc>
          <w:tcPr>
            <w:tcW w:w="2878"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202</w:t>
            </w:r>
            <w:r>
              <w:rPr>
                <w:rFonts w:hint="eastAsia" w:ascii="宋体" w:hAnsi="宋体" w:cs="宋体"/>
                <w:color w:val="000000" w:themeColor="text1"/>
                <w:lang w:val="en-US" w:eastAsia="zh-CN"/>
                <w14:textFill>
                  <w14:solidFill>
                    <w14:schemeClr w14:val="tx1"/>
                  </w14:solidFill>
                </w14:textFill>
              </w:rPr>
              <w:t>3.9</w:t>
            </w:r>
          </w:p>
        </w:tc>
        <w:tc>
          <w:tcPr>
            <w:tcW w:w="1364"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s="宋体"/>
                <w:color w:val="000000" w:themeColor="text1"/>
                <w:lang w:eastAsia="zh-CN"/>
                <w14:textFill>
                  <w14:solidFill>
                    <w14:schemeClr w14:val="tx1"/>
                  </w14:solidFill>
                </w14:textFill>
              </w:rPr>
              <w:t>林先洪</w:t>
            </w:r>
          </w:p>
        </w:tc>
        <w:tc>
          <w:tcPr>
            <w:tcW w:w="215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姓  名</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认定专业</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安全评价师从业识别卡/证书编号</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注册安全工程师</w:t>
            </w:r>
          </w:p>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王 梅</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电气工程</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S011053000110191001147/019244</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55090076425</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张圣菊</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化工工艺</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S011053000110192003084/026161</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37150168124</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林 波</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化工工艺</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S011053000110192002987/035615</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55190209531</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t>高胡容</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安全工程</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S011053000110192002940</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037978</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lang w:val="en-US" w:eastAsia="zh-CN"/>
                <w14:textFill>
                  <w14:solidFill>
                    <w14:schemeClr w14:val="tx1"/>
                  </w14:solidFill>
                </w14:textFill>
              </w:rPr>
            </w:pP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肖泽钧</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安全工程</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S011044000110193002230/036057</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499"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孟萌萌</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电气工程</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1100000000301652</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019246</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499"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t>张郑平</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电气工程</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default" w:ascii="宋体" w:hAnsi="宋体" w:eastAsia="宋体" w:cs="宋体"/>
                <w:color w:val="000000" w:themeColor="text1"/>
                <w:lang w:val="en-US"/>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S011053000110192003137/035874</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李 伟</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t>机械</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1800000000201223/020783</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唐 波</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化工机械</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S011053000110192003004/035894</w:t>
            </w:r>
          </w:p>
        </w:tc>
        <w:tc>
          <w:tcPr>
            <w:tcW w:w="1857"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刘文娟</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自动化</w:t>
            </w:r>
            <w:r>
              <w:rPr>
                <w:rFonts w:hint="eastAsia" w:ascii="宋体" w:hAnsi="宋体" w:eastAsia="宋体" w:cs="宋体"/>
                <w:color w:val="000000" w:themeColor="text1"/>
                <w:spacing w:val="5"/>
                <w:szCs w:val="21"/>
                <w:shd w:val="clear" w:color="auto" w:fill="FFFFFF"/>
                <w:lang w:eastAsia="zh-CN"/>
                <w14:textFill>
                  <w14:solidFill>
                    <w14:schemeClr w14:val="tx1"/>
                  </w14:solidFill>
                </w14:textFill>
              </w:rPr>
              <w:t>（</w:t>
            </w:r>
            <w: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t>仪表）</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1700000000201153/019235</w:t>
            </w:r>
          </w:p>
        </w:tc>
        <w:tc>
          <w:tcPr>
            <w:tcW w:w="1857" w:type="dxa"/>
            <w:gridSpan w:val="5"/>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55140156484</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刘国勇</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化工工艺</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1800000000100099/019324</w:t>
            </w:r>
          </w:p>
        </w:tc>
        <w:tc>
          <w:tcPr>
            <w:tcW w:w="1857" w:type="dxa"/>
            <w:gridSpan w:val="5"/>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55060013805</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冯 皓</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14:textFill>
                  <w14:solidFill>
                    <w14:schemeClr w14:val="tx1"/>
                  </w14:solidFill>
                </w14:textFill>
              </w:rPr>
            </w:pPr>
            <w:r>
              <w:rPr>
                <w:rFonts w:hint="eastAsia" w:ascii="宋体" w:hAnsi="宋体" w:eastAsia="宋体" w:cs="宋体"/>
                <w:color w:val="000000" w:themeColor="text1"/>
                <w:spacing w:val="5"/>
                <w:szCs w:val="21"/>
                <w:shd w:val="clear" w:color="auto" w:fill="FFFFFF"/>
                <w14:textFill>
                  <w14:solidFill>
                    <w14:schemeClr w14:val="tx1"/>
                  </w14:solidFill>
                </w14:textFill>
              </w:rPr>
              <w:t>化工机械</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S011053000110201000802/019237</w:t>
            </w:r>
          </w:p>
        </w:tc>
        <w:tc>
          <w:tcPr>
            <w:tcW w:w="1857" w:type="dxa"/>
            <w:gridSpan w:val="5"/>
            <w:vAlign w:val="center"/>
          </w:tcPr>
          <w:p>
            <w:pPr>
              <w:widowControl/>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55130140330</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t>徐茂</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Cs w:val="21"/>
                <w:shd w:val="clear" w:color="auto" w:fill="FFFFFF"/>
                <w:lang w:val="en-US" w:eastAsia="zh-CN"/>
                <w14:textFill>
                  <w14:solidFill>
                    <w14:schemeClr w14:val="tx1"/>
                  </w14:solidFill>
                </w14:textFill>
              </w:rPr>
              <w:t>/</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spacing w:line="240" w:lineRule="auto"/>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w:t>
            </w:r>
          </w:p>
        </w:tc>
        <w:tc>
          <w:tcPr>
            <w:tcW w:w="1857" w:type="dxa"/>
            <w:gridSpan w:val="5"/>
            <w:vAlign w:val="center"/>
          </w:tcPr>
          <w:p>
            <w:pPr>
              <w:widowControl/>
              <w:adjustRightInd w:val="0"/>
              <w:snapToGrid w:val="0"/>
              <w:spacing w:line="240" w:lineRule="auto"/>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838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项目简介</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adjustRightInd/>
              <w:snapToGrid/>
              <w:spacing w:line="240" w:lineRule="auto"/>
              <w:jc w:val="both"/>
              <w:rPr>
                <w:rFonts w:hint="default" w:ascii="Arial" w:hAnsi="Arial" w:cs="Arial"/>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项目简介：</w:t>
            </w:r>
            <w:r>
              <w:rPr>
                <w:rFonts w:hint="default" w:ascii="Arial" w:hAnsi="Arial" w:eastAsia="宋体" w:cs="Arial"/>
                <w:snapToGrid w:val="0"/>
                <w:color w:val="000000" w:themeColor="text1"/>
                <w:kern w:val="0"/>
                <w:sz w:val="21"/>
                <w:szCs w:val="21"/>
                <w:highlight w:val="none"/>
                <w14:textFill>
                  <w14:solidFill>
                    <w14:schemeClr w14:val="tx1"/>
                  </w14:solidFill>
                </w14:textFill>
              </w:rPr>
              <w:t>建峰化工</w:t>
            </w:r>
            <w:r>
              <w:rPr>
                <w:rFonts w:hint="default" w:ascii="Arial" w:hAnsi="Arial" w:eastAsia="宋体" w:cs="Arial"/>
                <w:snapToGrid w:val="0"/>
                <w:color w:val="000000" w:themeColor="text1"/>
                <w:kern w:val="0"/>
                <w:sz w:val="21"/>
                <w:szCs w:val="21"/>
                <w:highlight w:val="none"/>
                <w:lang w:val="en-US" w:eastAsia="zh-CN"/>
                <w14:textFill>
                  <w14:solidFill>
                    <w14:schemeClr w14:val="tx1"/>
                  </w14:solidFill>
                </w14:textFill>
              </w:rPr>
              <w:t>现</w:t>
            </w:r>
            <w:r>
              <w:rPr>
                <w:rFonts w:hint="default" w:ascii="Arial" w:hAnsi="Arial" w:eastAsia="宋体" w:cs="Arial"/>
                <w:snapToGrid w:val="0"/>
                <w:color w:val="000000" w:themeColor="text1"/>
                <w:kern w:val="0"/>
                <w:sz w:val="21"/>
                <w:szCs w:val="21"/>
                <w:highlight w:val="none"/>
                <w14:textFill>
                  <w14:solidFill>
                    <w14:schemeClr w14:val="tx1"/>
                  </w14:solidFill>
                </w14:textFill>
              </w:rPr>
              <w:t>拥有</w:t>
            </w:r>
            <w:r>
              <w:rPr>
                <w:rFonts w:hint="default" w:ascii="Arial" w:hAnsi="Arial" w:cs="Arial"/>
                <w:color w:val="000000" w:themeColor="text1"/>
                <w:sz w:val="21"/>
                <w:szCs w:val="21"/>
                <w:highlight w:val="none"/>
                <w14:textFill>
                  <w14:solidFill>
                    <w14:schemeClr w14:val="tx1"/>
                  </w14:solidFill>
                </w14:textFill>
              </w:rPr>
              <w:t>6万吨三聚氰胺</w:t>
            </w:r>
            <w:r>
              <w:rPr>
                <w:rFonts w:hint="default" w:ascii="Arial" w:hAnsi="Arial" w:eastAsia="宋体" w:cs="Arial"/>
                <w:b w:val="0"/>
                <w:bCs w:val="0"/>
                <w:color w:val="000000" w:themeColor="text1"/>
                <w:sz w:val="21"/>
                <w:szCs w:val="21"/>
                <w:highlight w:val="none"/>
                <w14:textFill>
                  <w14:solidFill>
                    <w14:schemeClr w14:val="tx1"/>
                  </w14:solidFill>
                </w14:textFill>
              </w:rPr>
              <w:t>装置</w:t>
            </w:r>
            <w:r>
              <w:rPr>
                <w:rFonts w:hint="default" w:ascii="Arial" w:hAnsi="Arial" w:eastAsia="宋体" w:cs="Arial"/>
                <w:b w:val="0"/>
                <w:bCs w:val="0"/>
                <w:color w:val="000000" w:themeColor="text1"/>
                <w:sz w:val="21"/>
                <w:szCs w:val="21"/>
                <w:highlight w:val="none"/>
                <w:lang w:eastAsia="zh-CN"/>
                <w14:textFill>
                  <w14:solidFill>
                    <w14:schemeClr w14:val="tx1"/>
                  </w14:solidFill>
                </w14:textFill>
              </w:rPr>
              <w:t>（</w:t>
            </w:r>
            <w:r>
              <w:rPr>
                <w:rFonts w:hint="default" w:ascii="Arial" w:hAnsi="Arial" w:eastAsia="宋体" w:cs="Arial"/>
                <w:b w:val="0"/>
                <w:bCs w:val="0"/>
                <w:color w:val="000000" w:themeColor="text1"/>
                <w:sz w:val="21"/>
                <w:szCs w:val="21"/>
                <w:highlight w:val="none"/>
                <w:lang w:val="en-US" w:eastAsia="zh-CN"/>
                <w14:textFill>
                  <w14:solidFill>
                    <w14:schemeClr w14:val="tx1"/>
                  </w14:solidFill>
                </w14:textFill>
              </w:rPr>
              <w:t>采用</w:t>
            </w:r>
            <w:r>
              <w:rPr>
                <w:rFonts w:hint="default" w:ascii="Arial" w:hAnsi="Arial" w:eastAsia="宋体" w:cs="Arial"/>
                <w:b w:val="0"/>
                <w:bCs w:val="0"/>
                <w:color w:val="000000" w:themeColor="text1"/>
                <w:sz w:val="21"/>
                <w:szCs w:val="21"/>
                <w14:textFill>
                  <w14:solidFill>
                    <w14:schemeClr w14:val="tx1"/>
                  </w14:solidFill>
                </w14:textFill>
              </w:rPr>
              <w:t>低压法工艺</w:t>
            </w:r>
            <w:r>
              <w:rPr>
                <w:rFonts w:hint="default" w:ascii="Arial" w:hAnsi="Arial" w:eastAsia="宋体" w:cs="Arial"/>
                <w:b w:val="0"/>
                <w:bCs w:val="0"/>
                <w:color w:val="000000" w:themeColor="text1"/>
                <w:sz w:val="21"/>
                <w:szCs w:val="21"/>
                <w:lang w:eastAsia="zh-CN"/>
                <w14:textFill>
                  <w14:solidFill>
                    <w14:schemeClr w14:val="tx1"/>
                  </w14:solidFill>
                </w14:textFill>
              </w:rPr>
              <w:t>，</w:t>
            </w:r>
            <w:r>
              <w:rPr>
                <w:rFonts w:hint="default" w:ascii="Arial" w:hAnsi="Arial" w:eastAsia="宋体" w:cs="Arial"/>
                <w:b w:val="0"/>
                <w:bCs w:val="0"/>
                <w:color w:val="000000" w:themeColor="text1"/>
                <w:sz w:val="21"/>
                <w:szCs w:val="21"/>
                <w:highlight w:val="none"/>
                <w:lang w:val="en-US" w:eastAsia="zh-CN"/>
                <w14:textFill>
                  <w14:solidFill>
                    <w14:schemeClr w14:val="tx1"/>
                  </w14:solidFill>
                </w14:textFill>
              </w:rPr>
              <w:t>拟进行试生产）；30×10</w:t>
            </w:r>
            <w:r>
              <w:rPr>
                <w:rFonts w:hint="default" w:ascii="Arial" w:hAnsi="Arial" w:eastAsia="宋体" w:cs="Arial"/>
                <w:b w:val="0"/>
                <w:bCs w:val="0"/>
                <w:color w:val="000000" w:themeColor="text1"/>
                <w:sz w:val="21"/>
                <w:szCs w:val="21"/>
                <w:highlight w:val="none"/>
                <w:vertAlign w:val="superscript"/>
                <w:lang w:val="en-US" w:eastAsia="zh-CN"/>
                <w14:textFill>
                  <w14:solidFill>
                    <w14:schemeClr w14:val="tx1"/>
                  </w14:solidFill>
                </w14:textFill>
              </w:rPr>
              <w:t>4</w:t>
            </w:r>
            <w:r>
              <w:rPr>
                <w:rFonts w:hint="default" w:ascii="Arial" w:hAnsi="Arial" w:eastAsia="宋体" w:cs="Arial"/>
                <w:b w:val="0"/>
                <w:bCs w:val="0"/>
                <w:color w:val="000000" w:themeColor="text1"/>
                <w:sz w:val="21"/>
                <w:szCs w:val="21"/>
                <w:highlight w:val="none"/>
                <w:lang w:val="en-US" w:eastAsia="zh-CN"/>
                <w14:textFill>
                  <w14:solidFill>
                    <w14:schemeClr w14:val="tx1"/>
                  </w14:solidFill>
                </w14:textFill>
              </w:rPr>
              <w:t>t/a合成氨/52×10</w:t>
            </w:r>
            <w:r>
              <w:rPr>
                <w:rFonts w:hint="default" w:ascii="Arial" w:hAnsi="Arial" w:eastAsia="宋体" w:cs="Arial"/>
                <w:b w:val="0"/>
                <w:bCs w:val="0"/>
                <w:color w:val="000000" w:themeColor="text1"/>
                <w:sz w:val="21"/>
                <w:szCs w:val="21"/>
                <w:highlight w:val="none"/>
                <w:vertAlign w:val="superscript"/>
                <w:lang w:val="en-US" w:eastAsia="zh-CN"/>
                <w14:textFill>
                  <w14:solidFill>
                    <w14:schemeClr w14:val="tx1"/>
                  </w14:solidFill>
                </w14:textFill>
              </w:rPr>
              <w:t>4</w:t>
            </w:r>
            <w:r>
              <w:rPr>
                <w:rFonts w:hint="default" w:ascii="Arial" w:hAnsi="Arial" w:eastAsia="宋体" w:cs="Arial"/>
                <w:b w:val="0"/>
                <w:bCs w:val="0"/>
                <w:color w:val="000000" w:themeColor="text1"/>
                <w:sz w:val="21"/>
                <w:szCs w:val="21"/>
                <w:highlight w:val="none"/>
                <w:lang w:val="en-US" w:eastAsia="zh-CN"/>
                <w14:textFill>
                  <w14:solidFill>
                    <w14:schemeClr w14:val="tx1"/>
                  </w14:solidFill>
                </w14:textFill>
              </w:rPr>
              <w:t>t/a氨气提法尿素装置（简称为一化装置）；45×10</w:t>
            </w:r>
            <w:r>
              <w:rPr>
                <w:rFonts w:hint="default" w:ascii="Arial" w:hAnsi="Arial" w:eastAsia="宋体" w:cs="Arial"/>
                <w:b w:val="0"/>
                <w:bCs w:val="0"/>
                <w:color w:val="000000" w:themeColor="text1"/>
                <w:sz w:val="21"/>
                <w:szCs w:val="21"/>
                <w:highlight w:val="none"/>
                <w:vertAlign w:val="superscript"/>
                <w:lang w:val="en-US" w:eastAsia="zh-CN"/>
                <w14:textFill>
                  <w14:solidFill>
                    <w14:schemeClr w14:val="tx1"/>
                  </w14:solidFill>
                </w14:textFill>
              </w:rPr>
              <w:t>4</w:t>
            </w:r>
            <w:r>
              <w:rPr>
                <w:rFonts w:hint="default" w:ascii="Arial" w:hAnsi="Arial" w:eastAsia="宋体" w:cs="Arial"/>
                <w:b w:val="0"/>
                <w:bCs w:val="0"/>
                <w:color w:val="000000" w:themeColor="text1"/>
                <w:sz w:val="21"/>
                <w:szCs w:val="21"/>
                <w:highlight w:val="none"/>
                <w:lang w:val="en-US" w:eastAsia="zh-CN"/>
                <w14:textFill>
                  <w14:solidFill>
                    <w14:schemeClr w14:val="tx1"/>
                  </w14:solidFill>
                </w14:textFill>
              </w:rPr>
              <w:t>t/a合成氨/80×10</w:t>
            </w:r>
            <w:r>
              <w:rPr>
                <w:rFonts w:hint="default" w:ascii="Arial" w:hAnsi="Arial" w:eastAsia="宋体" w:cs="Arial"/>
                <w:b w:val="0"/>
                <w:bCs w:val="0"/>
                <w:color w:val="000000" w:themeColor="text1"/>
                <w:sz w:val="21"/>
                <w:szCs w:val="21"/>
                <w:highlight w:val="none"/>
                <w:vertAlign w:val="superscript"/>
                <w:lang w:val="en-US" w:eastAsia="zh-CN"/>
                <w14:textFill>
                  <w14:solidFill>
                    <w14:schemeClr w14:val="tx1"/>
                  </w14:solidFill>
                </w14:textFill>
              </w:rPr>
              <w:t>4</w:t>
            </w:r>
            <w:r>
              <w:rPr>
                <w:rFonts w:hint="default" w:ascii="Arial" w:hAnsi="Arial" w:eastAsia="宋体" w:cs="Arial"/>
                <w:b w:val="0"/>
                <w:bCs w:val="0"/>
                <w:color w:val="000000" w:themeColor="text1"/>
                <w:sz w:val="21"/>
                <w:szCs w:val="21"/>
                <w:highlight w:val="none"/>
                <w:lang w:val="en-US" w:eastAsia="zh-CN"/>
                <w14:textFill>
                  <w14:solidFill>
                    <w14:schemeClr w14:val="tx1"/>
                  </w14:solidFill>
                </w14:textFill>
              </w:rPr>
              <w:t>t/a二氧化碳汽提法尿素装置（简</w:t>
            </w:r>
            <w:r>
              <w:rPr>
                <w:rFonts w:hint="default" w:ascii="Arial" w:hAnsi="Arial" w:cs="Arial"/>
                <w:color w:val="000000" w:themeColor="text1"/>
                <w:sz w:val="21"/>
                <w:szCs w:val="21"/>
                <w:highlight w:val="none"/>
                <w14:textFill>
                  <w14:solidFill>
                    <w14:schemeClr w14:val="tx1"/>
                  </w14:solidFill>
                </w14:textFill>
              </w:rPr>
              <w:t>称为二化装置）</w:t>
            </w:r>
            <w:r>
              <w:rPr>
                <w:rFonts w:hint="default" w:ascii="Arial" w:hAnsi="Arial" w:cs="Arial"/>
                <w:color w:val="000000" w:themeColor="text1"/>
                <w:sz w:val="21"/>
                <w:szCs w:val="21"/>
                <w:highlight w:val="none"/>
                <w:lang w:eastAsia="zh-CN"/>
                <w14:textFill>
                  <w14:solidFill>
                    <w14:schemeClr w14:val="tx1"/>
                  </w14:solidFill>
                </w14:textFill>
              </w:rPr>
              <w:t>；</w:t>
            </w:r>
            <w:r>
              <w:rPr>
                <w:rFonts w:hint="default" w:ascii="Arial" w:hAnsi="Arial" w:cs="Arial"/>
                <w:color w:val="000000" w:themeColor="text1"/>
                <w:sz w:val="21"/>
                <w:szCs w:val="21"/>
                <w:highlight w:val="none"/>
                <w:lang w:val="en-US" w:eastAsia="zh-CN"/>
                <w14:textFill>
                  <w14:solidFill>
                    <w14:schemeClr w14:val="tx1"/>
                  </w14:solidFill>
                </w14:textFill>
              </w:rPr>
              <w:t>合成氨弛放气循环回收利用装置（</w:t>
            </w:r>
            <w:r>
              <w:rPr>
                <w:rFonts w:hint="default" w:ascii="Arial" w:hAnsi="Arial" w:eastAsia="宋体" w:cs="Arial"/>
                <w:b w:val="0"/>
                <w:bCs w:val="0"/>
                <w:color w:val="000000" w:themeColor="text1"/>
                <w:sz w:val="21"/>
                <w:szCs w:val="21"/>
                <w:highlight w:val="none"/>
                <w:lang w:val="en-US" w:eastAsia="zh-CN"/>
                <w14:textFill>
                  <w14:solidFill>
                    <w14:schemeClr w14:val="tx1"/>
                  </w14:solidFill>
                </w14:textFill>
              </w:rPr>
              <w:t>正在试生产）</w:t>
            </w:r>
            <w:r>
              <w:rPr>
                <w:rFonts w:hint="default" w:ascii="Arial" w:hAnsi="Arial" w:cs="Arial"/>
                <w:color w:val="000000" w:themeColor="text1"/>
                <w:sz w:val="21"/>
                <w:szCs w:val="21"/>
                <w:highlight w:val="none"/>
                <w14:textFill>
                  <w14:solidFill>
                    <w14:schemeClr w14:val="tx1"/>
                  </w14:solidFill>
                </w14:textFill>
              </w:rPr>
              <w:t>。建峰化工拥有一条全长79.68km天然气长输管线（企业自用天然气），管线设计压力3.92MPa，管线采用Ф377×9无缝钢管，额定输气量100万m³/d。</w:t>
            </w:r>
          </w:p>
          <w:p>
            <w:pPr>
              <w:jc w:val="both"/>
              <w:rPr>
                <w:rFonts w:hint="default" w:ascii="Arial" w:hAnsi="Arial" w:cs="Arial"/>
                <w:color w:val="000000"/>
                <w:sz w:val="21"/>
                <w:szCs w:val="21"/>
              </w:rPr>
            </w:pPr>
            <w:r>
              <w:rPr>
                <w:rFonts w:hint="default" w:ascii="Arial" w:hAnsi="Arial" w:cs="Arial"/>
                <w:color w:val="000000"/>
                <w:sz w:val="21"/>
                <w:szCs w:val="21"/>
              </w:rPr>
              <w:t>建设内容主要包括：合成氨弛放气提氦装置和氦气充装站。合成氨弛放气提氦装置工艺主要由分子筛脱除水和二氧化碳、低温预处理、变压吸附、低温纯化分离（低温分离和低温纯化）单元工艺组成。产品氦气直接冲入管束箱，达标后由合作经营方直接运出，即产即销。</w:t>
            </w:r>
          </w:p>
          <w:p>
            <w:pPr>
              <w:adjustRightInd w:val="0"/>
              <w:snapToGrid w:val="0"/>
              <w:ind w:firstLine="560"/>
              <w:rPr>
                <w:rFonts w:hint="default" w:ascii="Arial" w:hAnsi="Arial" w:cs="Arial"/>
                <w:snapToGrid w:val="0"/>
                <w:color w:val="000000" w:themeColor="text1"/>
                <w:kern w:val="0"/>
                <w:sz w:val="21"/>
                <w:szCs w:val="21"/>
                <w:lang w:val="en-US" w:eastAsia="zh-CN"/>
                <w14:textFill>
                  <w14:solidFill>
                    <w14:schemeClr w14:val="tx1"/>
                  </w14:solidFill>
                </w14:textFill>
              </w:rPr>
            </w:pPr>
            <w:r>
              <w:rPr>
                <w:rFonts w:hint="default" w:ascii="Arial" w:hAnsi="Arial" w:cs="Arial"/>
                <w:color w:val="000000"/>
                <w:sz w:val="21"/>
                <w:szCs w:val="21"/>
                <w:highlight w:val="none"/>
              </w:rPr>
              <w:t>弛放气处理量约807.2×</w:t>
            </w:r>
            <w:r>
              <w:rPr>
                <w:rFonts w:hint="default" w:ascii="Arial" w:hAnsi="Arial" w:cs="Arial"/>
                <w:color w:val="000000"/>
                <w:sz w:val="21"/>
                <w:szCs w:val="21"/>
                <w:highlight w:val="none"/>
                <w:lang w:val="en-US" w:eastAsia="zh-CN"/>
              </w:rPr>
              <w:t>10</w:t>
            </w:r>
            <w:r>
              <w:rPr>
                <w:rFonts w:hint="default" w:ascii="Arial" w:hAnsi="Arial" w:cs="Arial"/>
                <w:color w:val="000000"/>
                <w:sz w:val="21"/>
                <w:szCs w:val="21"/>
                <w:highlight w:val="none"/>
                <w:vertAlign w:val="superscript"/>
                <w:lang w:val="en-US" w:eastAsia="zh-CN"/>
              </w:rPr>
              <w:t>4</w:t>
            </w:r>
            <w:r>
              <w:rPr>
                <w:rFonts w:hint="default" w:ascii="Arial" w:hAnsi="Arial" w:cs="Arial"/>
                <w:color w:val="000000"/>
                <w:sz w:val="21"/>
                <w:szCs w:val="21"/>
                <w:highlight w:val="none"/>
              </w:rPr>
              <w:t>Nm³/a，回收产品高纯氦气约15×10</w:t>
            </w:r>
            <w:r>
              <w:rPr>
                <w:rFonts w:hint="default" w:ascii="Arial" w:hAnsi="Arial" w:cs="Arial"/>
                <w:color w:val="000000"/>
                <w:sz w:val="21"/>
                <w:szCs w:val="21"/>
                <w:highlight w:val="none"/>
                <w:vertAlign w:val="superscript"/>
              </w:rPr>
              <w:t>4</w:t>
            </w:r>
            <w:r>
              <w:rPr>
                <w:rFonts w:hint="default" w:ascii="Arial" w:hAnsi="Arial" w:cs="Arial"/>
                <w:color w:val="000000"/>
                <w:sz w:val="21"/>
                <w:szCs w:val="21"/>
                <w:highlight w:val="none"/>
              </w:rPr>
              <w:t>Nm³/a，外售；回收氢气约589.53×</w:t>
            </w:r>
            <w:r>
              <w:rPr>
                <w:rFonts w:hint="default" w:ascii="Arial" w:hAnsi="Arial" w:cs="Arial"/>
                <w:color w:val="000000"/>
                <w:sz w:val="21"/>
                <w:szCs w:val="21"/>
                <w:highlight w:val="none"/>
                <w:lang w:val="en-US" w:eastAsia="zh-CN"/>
              </w:rPr>
              <w:t>10</w:t>
            </w:r>
            <w:r>
              <w:rPr>
                <w:rFonts w:hint="default" w:ascii="Arial" w:hAnsi="Arial" w:cs="Arial"/>
                <w:color w:val="000000"/>
                <w:sz w:val="21"/>
                <w:szCs w:val="21"/>
                <w:highlight w:val="none"/>
                <w:vertAlign w:val="superscript"/>
                <w:lang w:val="en-US" w:eastAsia="zh-CN"/>
              </w:rPr>
              <w:t>4</w:t>
            </w:r>
            <w:r>
              <w:rPr>
                <w:rFonts w:hint="default" w:ascii="Arial" w:hAnsi="Arial" w:cs="Arial"/>
                <w:color w:val="000000"/>
                <w:sz w:val="21"/>
                <w:szCs w:val="21"/>
                <w:highlight w:val="none"/>
              </w:rPr>
              <w:t>Nm³/a，返回合成氨装置作为转变工段原料。</w:t>
            </w:r>
          </w:p>
          <w:p>
            <w:pPr>
              <w:jc w:val="both"/>
              <w:rPr>
                <w:rFonts w:hint="default" w:ascii="Arial" w:hAnsi="Arial" w:cs="Arial"/>
                <w:color w:val="000000"/>
                <w:sz w:val="21"/>
                <w:szCs w:val="21"/>
              </w:rPr>
            </w:pPr>
            <w:r>
              <w:rPr>
                <w:rFonts w:hint="default" w:ascii="Arial" w:hAnsi="Arial" w:cs="Arial"/>
                <w:color w:val="000000"/>
                <w:sz w:val="21"/>
                <w:szCs w:val="21"/>
              </w:rPr>
              <w:t>根据合同约定，本报告评价范围为合成氨弛放气循环回收利用项目的选址及周边环境、总图布置及建（构）筑物、生产装置和储存系统、安全设施、公用工程及辅助设施、安全管理等。</w:t>
            </w:r>
          </w:p>
          <w:p>
            <w:pPr>
              <w:jc w:val="both"/>
              <w:rPr>
                <w:rFonts w:hint="default" w:ascii="Arial" w:hAnsi="Arial" w:cs="Arial"/>
                <w:snapToGrid w:val="0"/>
                <w:color w:val="000000" w:themeColor="text1"/>
                <w:kern w:val="0"/>
                <w:sz w:val="24"/>
                <w:szCs w:val="24"/>
                <w:lang w:val="en-US" w:eastAsia="zh-CN"/>
                <w14:textFill>
                  <w14:solidFill>
                    <w14:schemeClr w14:val="tx1"/>
                  </w14:solidFill>
                </w14:textFill>
              </w:rPr>
            </w:pPr>
            <w:r>
              <w:rPr>
                <w:rFonts w:hint="default" w:ascii="Arial" w:hAnsi="Arial" w:cs="Arial"/>
                <w:color w:val="000000"/>
                <w:sz w:val="21"/>
                <w:szCs w:val="21"/>
              </w:rPr>
              <w:t>本项目给排水设施、供配电设施、消防设施、仪表气源、控制室、化验室、污水处理站等公用工程和辅助设施均依托已有设施。</w:t>
            </w:r>
          </w:p>
          <w:p>
            <w:pPr>
              <w:adjustRightInd w:val="0"/>
              <w:snapToGrid w:val="0"/>
              <w:spacing w:line="240" w:lineRule="auto"/>
              <w:rPr>
                <w:rFonts w:hint="eastAsia" w:ascii="宋体" w:hAnsi="宋体" w:eastAsia="宋体" w:cs="宋体"/>
                <w:b w:val="0"/>
                <w:bCs/>
                <w:color w:val="000000" w:themeColor="text1"/>
                <w:szCs w:val="21"/>
                <w14:textFill>
                  <w14:solidFill>
                    <w14:schemeClr w14:val="tx1"/>
                  </w14:solidFill>
                </w14:textFill>
              </w:rPr>
            </w:pPr>
            <w:r>
              <w:rPr>
                <w:rFonts w:hint="eastAsia" w:ascii="宋体" w:hAnsi="宋体" w:eastAsia="宋体" w:cs="宋体"/>
                <w:b w:val="0"/>
                <w:bCs/>
                <w:color w:val="000000" w:themeColor="text1"/>
                <w:szCs w:val="21"/>
                <w14:textFill>
                  <w14:solidFill>
                    <w14:schemeClr w14:val="tx1"/>
                  </w14:solidFill>
                </w14:textFill>
              </w:rPr>
              <w:t>现场勘察照片：</w:t>
            </w:r>
          </w:p>
          <w:p>
            <w:pPr>
              <w:adjustRightInd w:val="0"/>
              <w:snapToGrid w:val="0"/>
              <w:spacing w:line="240" w:lineRule="auto"/>
              <w:ind w:firstLine="420" w:firstLineChars="200"/>
              <w:rPr>
                <w:rFonts w:hint="eastAsia" w:ascii="宋体" w:hAnsi="宋体" w:eastAsia="宋体" w:cs="宋体"/>
                <w:b w:val="0"/>
                <w:bCs/>
                <w:color w:val="000000" w:themeColor="text1"/>
                <w:szCs w:val="21"/>
                <w:lang w:eastAsia="zh-CN"/>
                <w14:textFill>
                  <w14:solidFill>
                    <w14:schemeClr w14:val="tx1"/>
                  </w14:solidFill>
                </w14:textFill>
              </w:rPr>
            </w:pPr>
            <w:r>
              <w:drawing>
                <wp:inline distT="0" distB="0" distL="114300" distR="114300">
                  <wp:extent cx="4958715" cy="2032635"/>
                  <wp:effectExtent l="0" t="0" r="13335" b="57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958715" cy="20326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6" w:type="dxa"/>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现场开展工作情况</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勘验人员</w:t>
            </w:r>
          </w:p>
        </w:tc>
        <w:tc>
          <w:tcPr>
            <w:tcW w:w="2352"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勘验时间</w:t>
            </w:r>
          </w:p>
        </w:tc>
        <w:tc>
          <w:tcPr>
            <w:tcW w:w="1338"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勘验任务</w:t>
            </w:r>
          </w:p>
        </w:tc>
        <w:tc>
          <w:tcPr>
            <w:tcW w:w="313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王梅、张圣菊</w:t>
            </w: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202</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1.9</w:t>
            </w:r>
          </w:p>
        </w:tc>
        <w:tc>
          <w:tcPr>
            <w:tcW w:w="88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both"/>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现场和资料</w:t>
            </w:r>
          </w:p>
        </w:tc>
        <w:tc>
          <w:tcPr>
            <w:tcW w:w="2973"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left"/>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color w:val="000000" w:themeColor="text1"/>
                <w14:textFill>
                  <w14:solidFill>
                    <w14:schemeClr w14:val="tx1"/>
                  </w14:solidFill>
                </w14:textFill>
              </w:rPr>
            </w:pP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88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2973"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left"/>
              <w:rPr>
                <w:rFonts w:hint="eastAsia" w:ascii="宋体" w:hAnsi="宋体" w:eastAsia="宋体" w:cs="宋体"/>
                <w:b/>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330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88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c>
          <w:tcPr>
            <w:tcW w:w="2973"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uto"/>
              <w:jc w:val="center"/>
              <w:rPr>
                <w:rFonts w:hint="eastAsia" w:ascii="宋体" w:hAnsi="宋体" w:eastAsia="宋体" w:cs="宋体"/>
                <w:b/>
                <w:color w:val="000000" w:themeColor="text1"/>
                <w14:textFill>
                  <w14:solidFill>
                    <w14:schemeClr w14:val="tx1"/>
                  </w14:solidFill>
                </w14:textFill>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C407F0"/>
    <w:rsid w:val="74C40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99"/>
    <w:pPr>
      <w:tabs>
        <w:tab w:val="left" w:pos="540"/>
        <w:tab w:val="left" w:pos="1800"/>
      </w:tabs>
      <w:spacing w:after="120" w:line="500" w:lineRule="exact"/>
      <w:ind w:left="420" w:leftChars="200" w:firstLine="420"/>
    </w:pPr>
    <w:rPr>
      <w:rFonts w:ascii="Times New Roman" w:hAnsi="Times New Roman"/>
      <w:kern w:val="2"/>
      <w:sz w:val="21"/>
      <w:szCs w:val="24"/>
    </w:rPr>
  </w:style>
  <w:style w:type="paragraph" w:styleId="3">
    <w:name w:val="Body Text Indent"/>
    <w:basedOn w:val="1"/>
    <w:next w:val="4"/>
    <w:semiHidden/>
    <w:unhideWhenUsed/>
    <w:qFormat/>
    <w:uiPriority w:val="99"/>
    <w:pPr>
      <w:spacing w:after="120"/>
      <w:ind w:left="420" w:leftChars="200"/>
    </w:pPr>
  </w:style>
  <w:style w:type="paragraph" w:styleId="4">
    <w:name w:val="toc 4"/>
    <w:basedOn w:val="1"/>
    <w:next w:val="1"/>
    <w:qFormat/>
    <w:uiPriority w:val="0"/>
    <w:pPr>
      <w:ind w:left="63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2023-10-09T03:46:00Z</dcterms:created>
  <dc:creator>雷楠</dc:creator>
  <cp:lastModifiedBy>雷楠</cp:lastModifiedBy>
  <dcterms:modified xsi:type="dcterms:W3CDTF">2023-10-09T03:46:11Z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