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重庆市洪臣建材有限公司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重庆市洪臣建材有限公司建筑石料用灰岩矿（改建）一采区一期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年8月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重庆市洪臣建材有限公司成立于2013年07月03日，统一社会信用代码91500117072315810U，经济类型为有限责任公司，营业期限为2013年07月03日至永久，经营范围为建筑石料用灰岩露天开采、碎石加工、销售等。</w:t>
            </w:r>
          </w:p>
          <w:p>
            <w:pPr>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市洪臣建材有限公司建筑石料用灰岩矿位于重庆市合川区狮滩镇白银村三社，采矿许可证证号：C5001172009087130032062，有效期限：自2021年1月7日至2036年10月7日；生产规模：100万吨/年，开采标高：+415m～+325m，矿区面积：0.1947km</w:t>
            </w:r>
            <w:r>
              <w:rPr>
                <w:rFonts w:hint="eastAsia" w:ascii="仿宋" w:hAnsi="仿宋" w:eastAsia="仿宋" w:cs="仿宋"/>
                <w:bCs/>
                <w:szCs w:val="21"/>
                <w:vertAlign w:val="superscript"/>
              </w:rPr>
              <w:t>2</w:t>
            </w:r>
            <w:r>
              <w:rPr>
                <w:rFonts w:hint="eastAsia" w:ascii="仿宋" w:hAnsi="仿宋" w:eastAsia="仿宋" w:cs="仿宋"/>
                <w:bCs/>
                <w:szCs w:val="21"/>
              </w:rPr>
              <w:t>，开采方式为露天开采；安全生产许可证证号：（渝）FM安许证字〔2022〕合川170129号，有效期限自2022年8月1日至2025年7月31日。企业证照齐全，合法有效。</w:t>
            </w:r>
          </w:p>
          <w:p>
            <w:pPr>
              <w:ind w:firstLine="560"/>
              <w:rPr>
                <w:rFonts w:hint="eastAsia" w:ascii="仿宋" w:hAnsi="仿宋" w:eastAsia="仿宋" w:cs="Arial"/>
                <w:szCs w:val="28"/>
              </w:rPr>
            </w:pPr>
            <w:bookmarkStart w:id="0" w:name="_Hlk134009440"/>
            <w:r>
              <w:rPr>
                <w:rFonts w:hint="eastAsia" w:ascii="仿宋" w:hAnsi="仿宋" w:eastAsia="仿宋" w:cs="仿宋"/>
                <w:bCs/>
                <w:szCs w:val="21"/>
              </w:rPr>
              <w:t>原设计将矿区划分为三个采区，分三期进行开采，其中一采区采用爆破作业开采，二、三采区因民房无法拆迁，采用机械开采。现一采区资源已开采完毕，企业计划开采二采区资源；为节约开采成本，提高经济效益，企业计划将原设计二采区划分为两期，分期进行开采，一期采用机械开采，二期采用爆破开采。同时矿区南侧与北侧均堆放有大量弃土，原设计排土场容量无法满足弃土堆放要求。根据《建设项目安全设施“三同时”监督管理办法》（国家安全生产监督管理总局令第36号发布，国家安全生产监督管理总局令第77号修正）及《重庆市安全生产监督管理局关于进一步规范全市非煤矿山安全生产行政许可工作的通知》（渝安监发〔2017〕49号）等有关规定的要求，该项目应按照“改建”性质履行安全设施“三同时”程序。</w:t>
            </w:r>
            <w:bookmarkEnd w:id="0"/>
          </w:p>
          <w:p>
            <w:pPr>
              <w:pStyle w:val="2"/>
            </w:pPr>
            <w:r>
              <w:drawing>
                <wp:inline distT="0" distB="0" distL="114300" distR="114300">
                  <wp:extent cx="3524250" cy="21240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24250" cy="2124075"/>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w:t>
            </w:r>
            <w:r>
              <w:rPr>
                <w:rFonts w:cs="仿宋"/>
                <w:spacing w:val="-14"/>
                <w:sz w:val="21"/>
                <w:szCs w:val="21"/>
                <w:lang w:eastAsia="zh-CN"/>
              </w:rPr>
              <w:t>1</w:t>
            </w:r>
            <w:r>
              <w:rPr>
                <w:rFonts w:hint="eastAsia" w:cs="仿宋"/>
                <w:spacing w:val="-14"/>
                <w:sz w:val="21"/>
                <w:szCs w:val="21"/>
                <w:lang w:eastAsia="zh-CN"/>
              </w:rPr>
              <w:t>7日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w:t>
            </w:r>
            <w:r>
              <w:rPr>
                <w:rFonts w:ascii="仿宋" w:hAnsi="仿宋" w:eastAsia="仿宋" w:cs="仿宋"/>
                <w:spacing w:val="-14"/>
                <w:szCs w:val="21"/>
              </w:rPr>
              <w:t>1</w:t>
            </w:r>
            <w:r>
              <w:rPr>
                <w:rFonts w:hint="eastAsia" w:ascii="仿宋" w:hAnsi="仿宋" w:eastAsia="仿宋" w:cs="仿宋"/>
                <w:spacing w:val="-14"/>
                <w:szCs w:val="21"/>
              </w:rPr>
              <w:t>7日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472EA"/>
    <w:rsid w:val="0C047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2024-09-26T03:42:00Z</dcterms:created>
  <dc:creator>雷楠</dc:creator>
  <cp:lastModifiedBy>雷楠</cp:lastModifiedBy>
  <dcterms:modified xsi:type="dcterms:W3CDTF">2024-09-26T03:42:45Z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