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818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重庆华新盐井水泥有限公司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重庆华新盐井水泥有限公司合川麻柳凼水泥用石灰岩矿（改建）二期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  陶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7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057" w:type="dxa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05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钱  鹏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033517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Arial"/>
                <w:szCs w:val="28"/>
              </w:rPr>
              <w:t>重庆华新盐井水泥有限公司于1995年05月08日成立，统一社会信用代码：9150011762191338X5，经济类型属有限责任公司，法定代表人为：杜平，经营范围:开发、生产、销售特种水泥和其他水泥产品等。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矿山位于合川区草街街道，原矿区由25个拐点坐标圈定，矿区面积0.9673km</w:t>
            </w:r>
            <w:r>
              <w:rPr>
                <w:rFonts w:eastAsia="仿宋" w:cs="Calibri"/>
                <w:szCs w:val="28"/>
              </w:rPr>
              <w:t>²</w:t>
            </w:r>
            <w:r>
              <w:rPr>
                <w:rFonts w:hint="eastAsia" w:ascii="仿宋" w:hAnsi="仿宋" w:eastAsia="仿宋" w:cs="仿宋"/>
                <w:szCs w:val="28"/>
              </w:rPr>
              <w:t>，开采标高</w:t>
            </w:r>
            <w:r>
              <w:rPr>
                <w:rFonts w:hint="eastAsia" w:ascii="仿宋" w:hAnsi="仿宋" w:eastAsia="仿宋" w:cs="Arial"/>
                <w:szCs w:val="28"/>
              </w:rPr>
              <w:t>+400m～+310m，生产规模270万吨/年。由于原矿区与嘉陵江11～14号管理桩连线外扩1公里线存在重叠，且19号拐点附近沿江（嘉陵江）可视，根据相关要求缩小矿区范围。于2021年9月1日取得采矿许可证，证号：</w:t>
            </w:r>
            <w:r>
              <w:rPr>
                <w:rFonts w:ascii="仿宋" w:hAnsi="仿宋" w:eastAsia="仿宋" w:cs="Arial"/>
                <w:szCs w:val="28"/>
              </w:rPr>
              <w:t>C5000002009047130015664</w:t>
            </w:r>
            <w:r>
              <w:rPr>
                <w:rFonts w:hint="eastAsia" w:ascii="仿宋" w:hAnsi="仿宋" w:eastAsia="仿宋" w:cs="Arial"/>
                <w:szCs w:val="28"/>
              </w:rPr>
              <w:t>，</w:t>
            </w:r>
            <w:r>
              <w:rPr>
                <w:rFonts w:ascii="仿宋" w:hAnsi="仿宋" w:eastAsia="仿宋" w:cs="Arial"/>
                <w:szCs w:val="28"/>
              </w:rPr>
              <w:t>有效期20</w:t>
            </w:r>
            <w:r>
              <w:rPr>
                <w:rFonts w:hint="eastAsia" w:ascii="仿宋" w:hAnsi="仿宋" w:eastAsia="仿宋" w:cs="Arial"/>
                <w:szCs w:val="28"/>
              </w:rPr>
              <w:t>21</w:t>
            </w:r>
            <w:r>
              <w:rPr>
                <w:rFonts w:ascii="仿宋" w:hAnsi="仿宋" w:eastAsia="仿宋" w:cs="Arial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szCs w:val="28"/>
              </w:rPr>
              <w:t>12</w:t>
            </w:r>
            <w:r>
              <w:rPr>
                <w:rFonts w:ascii="仿宋" w:hAnsi="仿宋" w:eastAsia="仿宋" w:cs="Arial"/>
                <w:szCs w:val="28"/>
              </w:rPr>
              <w:t>月</w:t>
            </w:r>
            <w:r>
              <w:rPr>
                <w:rFonts w:hint="eastAsia" w:ascii="仿宋" w:hAnsi="仿宋" w:eastAsia="仿宋" w:cs="Arial"/>
                <w:szCs w:val="28"/>
              </w:rPr>
              <w:t>28</w:t>
            </w:r>
            <w:r>
              <w:rPr>
                <w:rFonts w:ascii="仿宋" w:hAnsi="仿宋" w:eastAsia="仿宋" w:cs="Arial"/>
                <w:szCs w:val="28"/>
              </w:rPr>
              <w:t>日至20</w:t>
            </w:r>
            <w:r>
              <w:rPr>
                <w:rFonts w:hint="eastAsia" w:ascii="仿宋" w:hAnsi="仿宋" w:eastAsia="仿宋" w:cs="Arial"/>
                <w:szCs w:val="28"/>
              </w:rPr>
              <w:t>45</w:t>
            </w:r>
            <w:r>
              <w:rPr>
                <w:rFonts w:ascii="仿宋" w:hAnsi="仿宋" w:eastAsia="仿宋" w:cs="Arial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szCs w:val="28"/>
              </w:rPr>
              <w:t>8</w:t>
            </w:r>
            <w:r>
              <w:rPr>
                <w:rFonts w:ascii="仿宋" w:hAnsi="仿宋" w:eastAsia="仿宋" w:cs="Arial"/>
                <w:szCs w:val="28"/>
              </w:rPr>
              <w:t>月</w:t>
            </w:r>
            <w:r>
              <w:rPr>
                <w:rFonts w:hint="eastAsia" w:ascii="仿宋" w:hAnsi="仿宋" w:eastAsia="仿宋" w:cs="Arial"/>
                <w:szCs w:val="28"/>
              </w:rPr>
              <w:t>9</w:t>
            </w:r>
            <w:r>
              <w:rPr>
                <w:rFonts w:ascii="仿宋" w:hAnsi="仿宋" w:eastAsia="仿宋" w:cs="Arial"/>
                <w:szCs w:val="28"/>
              </w:rPr>
              <w:t>日</w:t>
            </w:r>
            <w:r>
              <w:rPr>
                <w:rFonts w:hint="eastAsia" w:ascii="仿宋" w:hAnsi="仿宋" w:eastAsia="仿宋" w:cs="Arial"/>
                <w:szCs w:val="28"/>
              </w:rPr>
              <w:t>，矿区由28个拐点坐标圈定，矿区面积0.9446km</w:t>
            </w:r>
            <w:r>
              <w:rPr>
                <w:rFonts w:eastAsia="仿宋" w:cs="Calibri"/>
                <w:szCs w:val="28"/>
              </w:rPr>
              <w:t>²</w:t>
            </w:r>
            <w:r>
              <w:rPr>
                <w:rFonts w:hint="eastAsia" w:ascii="仿宋" w:hAnsi="仿宋" w:eastAsia="仿宋" w:cs="仿宋"/>
                <w:szCs w:val="28"/>
              </w:rPr>
              <w:t>，开采标高</w:t>
            </w:r>
            <w:r>
              <w:rPr>
                <w:rFonts w:hint="eastAsia" w:ascii="仿宋" w:hAnsi="仿宋" w:eastAsia="仿宋" w:cs="Arial"/>
                <w:szCs w:val="28"/>
              </w:rPr>
              <w:t>+400m～+310m，开采矿种：</w:t>
            </w:r>
            <w:r>
              <w:rPr>
                <w:rFonts w:ascii="仿宋" w:hAnsi="仿宋" w:eastAsia="仿宋" w:cs="Arial"/>
                <w:szCs w:val="28"/>
              </w:rPr>
              <w:t>水泥用石灰岩</w:t>
            </w:r>
            <w:r>
              <w:rPr>
                <w:rFonts w:hint="eastAsia" w:ascii="仿宋" w:hAnsi="仿宋" w:eastAsia="仿宋" w:cs="Arial"/>
                <w:szCs w:val="28"/>
              </w:rPr>
              <w:t>，生产规模270万吨/年。后来发现矿区西侧内有约36㎡为基本农田，合川规资局将该区域调整出矿区外，于2022年1月13日取得新采矿许可证，矿区由28个拐点调整为30个拐点坐标圈定，其开采标高、开采矿种、生产规模等均未发生变化。根据《建设项目安全设施“三同时”监督管理办法》等有关规定，矿山建设项目应按改建性质履行建设项目安全设施 “三同时”程序。</w:t>
            </w:r>
            <w:r>
              <w:rPr>
                <w:rFonts w:hint="eastAsia" w:ascii="仿宋" w:hAnsi="仿宋" w:eastAsia="仿宋" w:cs="仿宋"/>
                <w:szCs w:val="21"/>
              </w:rPr>
              <w:t>项目于20</w:t>
            </w:r>
            <w:r>
              <w:rPr>
                <w:rFonts w:ascii="仿宋" w:hAnsi="仿宋" w:eastAsia="仿宋" w:cs="仿宋"/>
                <w:szCs w:val="21"/>
              </w:rPr>
              <w:t>22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月委托重庆市安全生产科学研究有限公司编制</w:t>
            </w:r>
            <w:r>
              <w:rPr>
                <w:rFonts w:ascii="仿宋" w:hAnsi="仿宋" w:eastAsia="仿宋" w:cs="仿宋"/>
                <w:szCs w:val="21"/>
              </w:rPr>
              <w:t>了</w:t>
            </w:r>
            <w:r>
              <w:rPr>
                <w:rFonts w:hint="eastAsia" w:ascii="仿宋" w:hAnsi="仿宋" w:eastAsia="仿宋" w:cs="仿宋"/>
                <w:szCs w:val="21"/>
              </w:rPr>
              <w:t>安全预评价报告，202</w:t>
            </w:r>
            <w:r>
              <w:rPr>
                <w:rFonts w:ascii="仿宋" w:hAnsi="仿宋" w:eastAsia="仿宋" w:cs="仿宋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szCs w:val="21"/>
              </w:rPr>
              <w:t>年4月委托苏州中材非金属矿工业设计研究院有限公司编制了安全</w:t>
            </w:r>
            <w:r>
              <w:rPr>
                <w:rFonts w:ascii="仿宋" w:hAnsi="仿宋" w:eastAsia="仿宋" w:cs="仿宋"/>
                <w:szCs w:val="21"/>
              </w:rPr>
              <w:t>设施设计报告</w:t>
            </w:r>
            <w:r>
              <w:rPr>
                <w:rFonts w:hint="eastAsia" w:ascii="仿宋" w:hAnsi="仿宋" w:eastAsia="仿宋" w:cs="仿宋"/>
                <w:szCs w:val="21"/>
              </w:rPr>
              <w:t>。于2</w:t>
            </w:r>
            <w:r>
              <w:rPr>
                <w:rFonts w:ascii="仿宋" w:hAnsi="仿宋" w:eastAsia="仿宋" w:cs="仿宋"/>
                <w:szCs w:val="21"/>
              </w:rPr>
              <w:t>022</w:t>
            </w:r>
            <w:r>
              <w:rPr>
                <w:rFonts w:hint="eastAsia" w:ascii="仿宋" w:hAnsi="仿宋" w:eastAsia="仿宋" w:cs="仿宋"/>
                <w:szCs w:val="21"/>
              </w:rPr>
              <w:t>年1</w:t>
            </w:r>
            <w:r>
              <w:rPr>
                <w:rFonts w:ascii="仿宋" w:hAnsi="仿宋" w:eastAsia="仿宋" w:cs="仿宋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月委托重庆市安全生产科学研究有限公司编制</w:t>
            </w:r>
            <w:r>
              <w:rPr>
                <w:rFonts w:ascii="仿宋" w:hAnsi="仿宋" w:eastAsia="仿宋" w:cs="仿宋"/>
                <w:szCs w:val="21"/>
              </w:rPr>
              <w:t>了</w:t>
            </w:r>
            <w:r>
              <w:rPr>
                <w:rFonts w:hint="eastAsia" w:ascii="仿宋" w:hAnsi="仿宋" w:eastAsia="仿宋" w:cs="仿宋"/>
                <w:szCs w:val="21"/>
              </w:rPr>
              <w:t>一期安全设施验收评价报告，并取得安全生产许可证。经过近几年的开采，矿山已进入二期范围作业，企业按照设计要求对二期进行建设，完成了二期</w:t>
            </w:r>
            <w:r>
              <w:rPr>
                <w:rFonts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 w:cs="仿宋"/>
                <w:szCs w:val="21"/>
              </w:rPr>
              <w:t>开拓运输系统、主体工程以及安全设施等建设。鉴于此，矿山于202</w:t>
            </w:r>
            <w:r>
              <w:rPr>
                <w:rFonts w:ascii="仿宋" w:hAnsi="仿宋" w:eastAsia="仿宋" w:cs="仿宋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6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月委托重庆市安全生产科学研究有限公司对该矿山二期</w:t>
            </w:r>
            <w:r>
              <w:rPr>
                <w:rFonts w:ascii="仿宋" w:hAnsi="仿宋" w:eastAsia="仿宋" w:cs="仿宋"/>
                <w:szCs w:val="21"/>
              </w:rPr>
              <w:t>范围</w:t>
            </w:r>
            <w:r>
              <w:rPr>
                <w:rFonts w:hint="eastAsia" w:ascii="仿宋" w:hAnsi="仿宋" w:eastAsia="仿宋" w:cs="仿宋"/>
                <w:szCs w:val="21"/>
              </w:rPr>
              <w:t>进行安全设施</w:t>
            </w:r>
            <w:r>
              <w:rPr>
                <w:rFonts w:ascii="仿宋" w:hAnsi="仿宋" w:eastAsia="仿宋" w:cs="仿宋"/>
                <w:szCs w:val="21"/>
              </w:rPr>
              <w:t>验收</w:t>
            </w:r>
            <w:r>
              <w:rPr>
                <w:rFonts w:hint="eastAsia" w:ascii="仿宋" w:hAnsi="仿宋" w:eastAsia="仿宋" w:cs="仿宋"/>
                <w:szCs w:val="21"/>
              </w:rPr>
              <w:t>评价。</w:t>
            </w:r>
          </w:p>
          <w:p>
            <w:pPr>
              <w:pStyle w:val="2"/>
              <w:ind w:firstLine="24"/>
            </w:pPr>
            <w:r>
              <w:drawing>
                <wp:inline distT="0" distB="0" distL="114300" distR="114300">
                  <wp:extent cx="4086225" cy="3057525"/>
                  <wp:effectExtent l="0" t="0" r="9525" b="952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613660" cy="3487420"/>
                  <wp:effectExtent l="0" t="0" r="15240" b="17780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3660" cy="3487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kern w:val="0"/>
                <w:sz w:val="0"/>
                <w:szCs w:val="0"/>
                <w:u w:color="000000"/>
                <w:shd w:val="clear" w:color="000000" w:fill="000000"/>
                <w:lang w:val="zh-CN" w:eastAsia="zh-CN" w:bidi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6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6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刘 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陶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6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7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67DCF"/>
    <w:rsid w:val="38F6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2024-07-25T02:01:00Z</dcterms:created>
  <dc:creator>雷楠</dc:creator>
  <cp:lastModifiedBy>雷楠</cp:lastModifiedBy>
  <dcterms:modified xsi:type="dcterms:W3CDTF">2024-07-25T02:01:52Z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