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bookmarkStart w:id="0" w:name="_GoBack"/>
      <w:bookmarkEnd w:id="0"/>
      <w:r>
        <w:rPr>
          <w:rFonts w:hint="eastAsia" w:ascii="仿宋" w:hAnsi="仿宋" w:eastAsia="仿宋"/>
          <w:b/>
          <w:color w:val="000000"/>
          <w:sz w:val="28"/>
          <w:szCs w:val="28"/>
        </w:rPr>
        <w:t>》</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311"/>
        <w:gridCol w:w="1287"/>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机构名称</w:t>
            </w:r>
          </w:p>
        </w:tc>
        <w:tc>
          <w:tcPr>
            <w:tcW w:w="3936" w:type="dxa"/>
            <w:gridSpan w:val="4"/>
            <w:noWrap w:val="0"/>
            <w:vAlign w:val="center"/>
          </w:tcPr>
          <w:p>
            <w:pPr>
              <w:widowControl/>
              <w:jc w:val="center"/>
              <w:rPr>
                <w:rFonts w:hint="eastAsia" w:cs="仿宋"/>
                <w:color w:val="000000"/>
                <w:szCs w:val="21"/>
              </w:rPr>
            </w:pPr>
            <w:r>
              <w:rPr>
                <w:rFonts w:hint="eastAsia" w:ascii="仿宋" w:hAnsi="仿宋" w:eastAsia="仿宋" w:cs="仿宋"/>
                <w:color w:val="000000"/>
                <w:szCs w:val="21"/>
              </w:rPr>
              <w:t>重庆市安全生产科学研究有限公司</w:t>
            </w:r>
          </w:p>
        </w:tc>
        <w:tc>
          <w:tcPr>
            <w:tcW w:w="1598"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资质证号</w:t>
            </w:r>
          </w:p>
        </w:tc>
        <w:tc>
          <w:tcPr>
            <w:tcW w:w="3038" w:type="dxa"/>
            <w:gridSpan w:val="4"/>
            <w:noWrap w:val="0"/>
            <w:vAlign w:val="center"/>
          </w:tcPr>
          <w:p>
            <w:pPr>
              <w:widowControl/>
              <w:jc w:val="center"/>
              <w:rPr>
                <w:rFonts w:hint="eastAsia" w:cs="仿宋"/>
                <w:spacing w:val="-14"/>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委托单位</w:t>
            </w:r>
          </w:p>
        </w:tc>
        <w:tc>
          <w:tcPr>
            <w:tcW w:w="8572" w:type="dxa"/>
            <w:gridSpan w:val="10"/>
            <w:noWrap w:val="0"/>
            <w:vAlign w:val="center"/>
          </w:tcPr>
          <w:p>
            <w:pPr>
              <w:spacing w:line="276" w:lineRule="auto"/>
              <w:jc w:val="center"/>
              <w:rPr>
                <w:rFonts w:ascii="仿宋" w:hAnsi="仿宋" w:eastAsia="仿宋" w:cs="仿宋"/>
                <w:kern w:val="0"/>
                <w:szCs w:val="21"/>
              </w:rPr>
            </w:pPr>
            <w:r>
              <w:rPr>
                <w:rFonts w:ascii="仿宋" w:hAnsi="仿宋" w:eastAsia="仿宋" w:cs="仿宋"/>
                <w:kern w:val="0"/>
                <w:szCs w:val="21"/>
              </w:rPr>
              <w:t>重庆国耀投资管理有限公司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项目名称</w:t>
            </w:r>
          </w:p>
        </w:tc>
        <w:tc>
          <w:tcPr>
            <w:tcW w:w="8572" w:type="dxa"/>
            <w:gridSpan w:val="10"/>
            <w:noWrap w:val="0"/>
            <w:vAlign w:val="center"/>
          </w:tcPr>
          <w:p>
            <w:pPr>
              <w:spacing w:line="276" w:lineRule="auto"/>
              <w:jc w:val="center"/>
              <w:rPr>
                <w:rFonts w:ascii="仿宋" w:hAnsi="仿宋" w:eastAsia="仿宋" w:cs="仿宋"/>
                <w:kern w:val="0"/>
                <w:szCs w:val="21"/>
              </w:rPr>
            </w:pPr>
            <w:r>
              <w:rPr>
                <w:rFonts w:ascii="仿宋" w:hAnsi="仿宋" w:eastAsia="仿宋" w:cs="仿宋"/>
                <w:kern w:val="0"/>
                <w:szCs w:val="21"/>
              </w:rPr>
              <w:t>重庆国耀投资管理有限公司重庆市巴南区姜家镇槐园村新房子社建筑石料用灰岩矿（改建）一期安全设施验收评价报告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项目类别</w:t>
            </w:r>
          </w:p>
        </w:tc>
        <w:tc>
          <w:tcPr>
            <w:tcW w:w="8572" w:type="dxa"/>
            <w:gridSpan w:val="10"/>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pStyle w:val="2"/>
              <w:spacing w:before="0" w:line="240" w:lineRule="exact"/>
              <w:ind w:left="0"/>
              <w:jc w:val="center"/>
              <w:rPr>
                <w:rFonts w:hint="eastAsia" w:cs="仿宋"/>
                <w:color w:val="000000"/>
                <w:szCs w:val="21"/>
              </w:rPr>
            </w:pPr>
            <w:r>
              <w:rPr>
                <w:rFonts w:hint="eastAsia" w:cs="仿宋"/>
                <w:b/>
                <w:spacing w:val="-14"/>
                <w:sz w:val="21"/>
                <w:szCs w:val="21"/>
                <w:lang w:eastAsia="zh-CN"/>
              </w:rPr>
              <w:t>所属业务类别</w:t>
            </w:r>
          </w:p>
        </w:tc>
        <w:tc>
          <w:tcPr>
            <w:tcW w:w="7895" w:type="dxa"/>
            <w:gridSpan w:val="9"/>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1"/>
            <w:noWrap w:val="0"/>
            <w:vAlign w:val="center"/>
          </w:tcPr>
          <w:p>
            <w:pPr>
              <w:pStyle w:val="2"/>
              <w:spacing w:before="0" w:line="240" w:lineRule="exact"/>
              <w:ind w:left="0"/>
              <w:jc w:val="center"/>
              <w:rPr>
                <w:rFonts w:hint="eastAsia" w:cs="仿宋"/>
                <w:b/>
                <w:color w:val="000000"/>
                <w:szCs w:val="21"/>
              </w:rPr>
            </w:pPr>
            <w:r>
              <w:rPr>
                <w:rFonts w:hint="eastAsia" w:cs="仿宋"/>
                <w:b/>
                <w:spacing w:val="-14"/>
                <w:sz w:val="21"/>
                <w:szCs w:val="21"/>
                <w:lang w:eastAsia="zh-CN"/>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安全评价项目管理</w:t>
            </w:r>
          </w:p>
        </w:tc>
        <w:tc>
          <w:tcPr>
            <w:tcW w:w="2987"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项目组组长</w:t>
            </w:r>
          </w:p>
        </w:tc>
        <w:tc>
          <w:tcPr>
            <w:tcW w:w="2710"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技术负责人</w:t>
            </w:r>
          </w:p>
        </w:tc>
        <w:tc>
          <w:tcPr>
            <w:tcW w:w="2875"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710"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875"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编制过程</w:t>
            </w:r>
          </w:p>
        </w:tc>
        <w:tc>
          <w:tcPr>
            <w:tcW w:w="2174"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报告编制人</w:t>
            </w:r>
          </w:p>
        </w:tc>
        <w:tc>
          <w:tcPr>
            <w:tcW w:w="2073"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报告提交日期</w:t>
            </w:r>
          </w:p>
        </w:tc>
        <w:tc>
          <w:tcPr>
            <w:tcW w:w="2169"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报告审核人</w:t>
            </w:r>
          </w:p>
        </w:tc>
        <w:tc>
          <w:tcPr>
            <w:tcW w:w="2156"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刘陶</w:t>
            </w:r>
          </w:p>
        </w:tc>
        <w:tc>
          <w:tcPr>
            <w:tcW w:w="2073" w:type="dxa"/>
            <w:gridSpan w:val="3"/>
            <w:noWrap w:val="0"/>
            <w:vAlign w:val="center"/>
          </w:tcPr>
          <w:p>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2024年5月</w:t>
            </w:r>
          </w:p>
        </w:tc>
        <w:tc>
          <w:tcPr>
            <w:tcW w:w="2169" w:type="dxa"/>
            <w:gridSpan w:val="3"/>
            <w:noWrap w:val="0"/>
            <w:vAlign w:val="center"/>
          </w:tcPr>
          <w:p>
            <w:pPr>
              <w:spacing w:line="360" w:lineRule="auto"/>
              <w:jc w:val="center"/>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李治友</w:t>
            </w:r>
          </w:p>
        </w:tc>
        <w:tc>
          <w:tcPr>
            <w:tcW w:w="2156" w:type="dxa"/>
            <w:gridSpan w:val="2"/>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姓  名</w:t>
            </w:r>
          </w:p>
        </w:tc>
        <w:tc>
          <w:tcPr>
            <w:tcW w:w="2174" w:type="dxa"/>
            <w:gridSpan w:val="2"/>
            <w:noWrap w:val="0"/>
            <w:vAlign w:val="center"/>
          </w:tcPr>
          <w:p>
            <w:pPr>
              <w:spacing w:line="300" w:lineRule="exact"/>
              <w:jc w:val="center"/>
              <w:rPr>
                <w:rFonts w:hint="eastAsia" w:ascii="仿宋" w:hAnsi="仿宋" w:eastAsia="仿宋" w:cs="仿宋"/>
                <w:b/>
                <w:spacing w:val="-14"/>
                <w:kern w:val="0"/>
                <w:szCs w:val="21"/>
              </w:rPr>
            </w:pPr>
            <w:r>
              <w:rPr>
                <w:rFonts w:hint="eastAsia" w:ascii="仿宋" w:hAnsi="仿宋" w:eastAsia="仿宋" w:cs="仿宋"/>
                <w:b/>
                <w:spacing w:val="-14"/>
                <w:kern w:val="0"/>
                <w:szCs w:val="21"/>
              </w:rPr>
              <w:t>认定专业</w:t>
            </w:r>
          </w:p>
        </w:tc>
        <w:tc>
          <w:tcPr>
            <w:tcW w:w="2073" w:type="dxa"/>
            <w:gridSpan w:val="3"/>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3"/>
            <w:noWrap w:val="0"/>
            <w:vAlign w:val="center"/>
          </w:tcPr>
          <w:p>
            <w:pPr>
              <w:jc w:val="center"/>
              <w:rPr>
                <w:rFonts w:ascii="仿宋" w:hAnsi="仿宋" w:eastAsia="仿宋" w:cs="仿宋"/>
                <w:color w:val="000000"/>
                <w:szCs w:val="21"/>
              </w:rPr>
            </w:pPr>
            <w:r>
              <w:rPr>
                <w:rFonts w:ascii="仿宋" w:hAnsi="仿宋" w:eastAsia="仿宋" w:cs="仿宋"/>
                <w:color w:val="000000"/>
                <w:szCs w:val="21"/>
              </w:rPr>
              <w:t>026317</w:t>
            </w:r>
            <w:r>
              <w:rPr>
                <w:rFonts w:hint="eastAsia" w:ascii="仿宋" w:hAnsi="仿宋" w:eastAsia="仿宋" w:cs="仿宋"/>
                <w:color w:val="000000"/>
                <w:szCs w:val="21"/>
              </w:rPr>
              <w:t>/S011053000110191001247</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037350/S011053000110193002461</w:t>
            </w:r>
          </w:p>
        </w:tc>
        <w:tc>
          <w:tcPr>
            <w:tcW w:w="2662" w:type="dxa"/>
            <w:gridSpan w:val="4"/>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3"/>
            <w:noWrap w:val="0"/>
            <w:vAlign w:val="center"/>
          </w:tcPr>
          <w:p>
            <w:pPr>
              <w:jc w:val="center"/>
              <w:rPr>
                <w:rFonts w:ascii="仿宋" w:hAnsi="仿宋" w:eastAsia="仿宋" w:cs="仿宋"/>
                <w:color w:val="000000"/>
                <w:szCs w:val="21"/>
              </w:rPr>
            </w:pPr>
            <w:r>
              <w:rPr>
                <w:rFonts w:ascii="仿宋" w:hAnsi="仿宋" w:eastAsia="仿宋" w:cs="仿宋"/>
                <w:color w:val="000000"/>
                <w:szCs w:val="21"/>
              </w:rPr>
              <w:t>033483</w:t>
            </w:r>
          </w:p>
          <w:p>
            <w:pPr>
              <w:jc w:val="center"/>
              <w:rPr>
                <w:rFonts w:ascii="仿宋" w:hAnsi="仿宋" w:eastAsia="仿宋" w:cs="仿宋"/>
                <w:color w:val="000000"/>
                <w:szCs w:val="21"/>
              </w:rPr>
            </w:pPr>
            <w:r>
              <w:rPr>
                <w:rFonts w:hint="eastAsia" w:ascii="仿宋" w:hAnsi="仿宋" w:eastAsia="仿宋" w:cs="仿宋"/>
                <w:color w:val="000000"/>
                <w:szCs w:val="21"/>
              </w:rPr>
              <w:t>1800000000301234</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3"/>
            <w:noWrap w:val="0"/>
            <w:vAlign w:val="center"/>
          </w:tcPr>
          <w:p>
            <w:pPr>
              <w:jc w:val="center"/>
              <w:rPr>
                <w:rFonts w:ascii="仿宋" w:hAnsi="仿宋" w:eastAsia="仿宋" w:cs="仿宋"/>
                <w:color w:val="000000"/>
                <w:szCs w:val="21"/>
              </w:rPr>
            </w:pPr>
            <w:r>
              <w:rPr>
                <w:rFonts w:ascii="仿宋" w:hAnsi="仿宋" w:eastAsia="仿宋" w:cs="仿宋"/>
                <w:color w:val="000000"/>
                <w:szCs w:val="21"/>
              </w:rPr>
              <w:t>037349</w:t>
            </w:r>
            <w:r>
              <w:rPr>
                <w:rFonts w:hint="eastAsia" w:ascii="仿宋" w:hAnsi="仿宋" w:eastAsia="仿宋" w:cs="仿宋"/>
                <w:color w:val="000000"/>
                <w:szCs w:val="21"/>
              </w:rPr>
              <w:t>/S011053000110193002453</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019246</w:t>
            </w:r>
          </w:p>
          <w:p>
            <w:pPr>
              <w:jc w:val="center"/>
              <w:rPr>
                <w:rFonts w:ascii="仿宋" w:hAnsi="仿宋" w:eastAsia="仿宋" w:cs="仿宋"/>
                <w:color w:val="000000"/>
                <w:szCs w:val="21"/>
              </w:rPr>
            </w:pPr>
            <w:r>
              <w:rPr>
                <w:rFonts w:hint="eastAsia" w:ascii="仿宋" w:hAnsi="仿宋" w:eastAsia="仿宋" w:cs="仿宋"/>
                <w:color w:val="000000"/>
                <w:szCs w:val="21"/>
              </w:rPr>
              <w:t>1100000000301652</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3"/>
            <w:noWrap w:val="0"/>
            <w:vAlign w:val="center"/>
          </w:tcPr>
          <w:p>
            <w:pPr>
              <w:jc w:val="center"/>
              <w:rPr>
                <w:rFonts w:ascii="仿宋" w:hAnsi="仿宋" w:eastAsia="仿宋" w:cs="仿宋"/>
                <w:color w:val="000000"/>
                <w:szCs w:val="21"/>
              </w:rPr>
            </w:pPr>
            <w:r>
              <w:rPr>
                <w:rFonts w:ascii="仿宋" w:hAnsi="仿宋" w:eastAsia="仿宋" w:cs="仿宋"/>
                <w:color w:val="000000"/>
                <w:szCs w:val="21"/>
              </w:rPr>
              <w:t>023846</w:t>
            </w:r>
          </w:p>
          <w:p>
            <w:pPr>
              <w:jc w:val="center"/>
              <w:rPr>
                <w:rFonts w:ascii="仿宋" w:hAnsi="仿宋" w:eastAsia="仿宋" w:cs="仿宋"/>
                <w:color w:val="000000"/>
                <w:szCs w:val="21"/>
              </w:rPr>
            </w:pPr>
            <w:r>
              <w:rPr>
                <w:rFonts w:hint="eastAsia" w:ascii="仿宋" w:hAnsi="仿宋" w:eastAsia="仿宋" w:cs="仿宋"/>
                <w:color w:val="000000"/>
                <w:szCs w:val="21"/>
              </w:rPr>
              <w:t>1500000000100173</w:t>
            </w:r>
          </w:p>
        </w:tc>
        <w:tc>
          <w:tcPr>
            <w:tcW w:w="2662" w:type="dxa"/>
            <w:gridSpan w:val="4"/>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033517</w:t>
            </w:r>
          </w:p>
          <w:p>
            <w:pPr>
              <w:jc w:val="center"/>
              <w:rPr>
                <w:rFonts w:ascii="仿宋" w:hAnsi="仿宋" w:eastAsia="仿宋" w:cs="仿宋"/>
                <w:color w:val="000000"/>
                <w:szCs w:val="21"/>
              </w:rPr>
            </w:pPr>
            <w:r>
              <w:rPr>
                <w:rFonts w:hint="eastAsia" w:ascii="仿宋" w:hAnsi="仿宋" w:eastAsia="仿宋" w:cs="仿宋"/>
                <w:color w:val="000000"/>
                <w:szCs w:val="21"/>
              </w:rPr>
              <w:t>1800000000301246</w:t>
            </w:r>
          </w:p>
        </w:tc>
        <w:tc>
          <w:tcPr>
            <w:tcW w:w="2662" w:type="dxa"/>
            <w:gridSpan w:val="4"/>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r>
              <w:rPr>
                <w:rFonts w:ascii="仿宋" w:hAnsi="仿宋" w:eastAsia="仿宋" w:cs="仿宋"/>
                <w:color w:val="000000"/>
                <w:szCs w:val="21"/>
              </w:rPr>
              <w:t>0800000000103084</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019237/S011053000110201000802</w:t>
            </w:r>
          </w:p>
        </w:tc>
        <w:tc>
          <w:tcPr>
            <w:tcW w:w="2662"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bl>
    <w:p>
      <w:r>
        <w:br w:type="page"/>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1837"/>
        <w:gridCol w:w="2371"/>
        <w:gridCol w:w="1226"/>
        <w:gridCol w:w="3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2"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4"/>
            <w:noWrap w:val="0"/>
            <w:vAlign w:val="top"/>
          </w:tcPr>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重庆国耀投资管理有限公司成立于2014年06月05日，统一社会信用代码91500112304904076F，经济类型为有限责任公司，法定代表人牟锐，营业期限为2014年06月05日至永久，经营范围包括矿产资源（非煤矿山）开采、建筑用石加工、建筑材料销售等。</w:t>
            </w:r>
          </w:p>
          <w:p>
            <w:pPr>
              <w:adjustRightInd w:val="0"/>
              <w:snapToGrid w:val="0"/>
              <w:spacing w:line="276" w:lineRule="auto"/>
              <w:ind w:left="67" w:leftChars="32" w:right="107" w:rightChars="51" w:firstLine="420" w:firstLineChars="200"/>
              <w:rPr>
                <w:rFonts w:ascii="仿宋" w:hAnsi="仿宋" w:eastAsia="仿宋" w:cs="仿宋"/>
                <w:szCs w:val="21"/>
              </w:rPr>
            </w:pPr>
            <w:r>
              <w:rPr>
                <w:rFonts w:hint="eastAsia" w:ascii="仿宋" w:hAnsi="仿宋" w:eastAsia="仿宋" w:cs="仿宋"/>
                <w:szCs w:val="21"/>
              </w:rPr>
              <w:t>重庆市巴南区姜家镇槐园村新房子社建筑石料用灰岩矿为</w:t>
            </w:r>
            <w:r>
              <w:rPr>
                <w:rFonts w:ascii="仿宋" w:hAnsi="仿宋" w:eastAsia="仿宋" w:cs="仿宋"/>
                <w:szCs w:val="21"/>
              </w:rPr>
              <w:t>重庆国耀投资管理有限公司</w:t>
            </w:r>
            <w:r>
              <w:rPr>
                <w:rFonts w:hint="eastAsia" w:ascii="仿宋" w:hAnsi="仿宋" w:eastAsia="仿宋" w:cs="仿宋"/>
                <w:szCs w:val="21"/>
              </w:rPr>
              <w:t>下属矿山，</w:t>
            </w:r>
            <w:r>
              <w:rPr>
                <w:rFonts w:ascii="仿宋" w:hAnsi="仿宋" w:eastAsia="仿宋" w:cs="仿宋"/>
                <w:szCs w:val="21"/>
              </w:rPr>
              <w:t>采矿许可证号：C5001132010127120097189，生产能力：100万吨/年，开采标高：+446m～+307m，矿区面积：0.2867km</w:t>
            </w:r>
            <w:r>
              <w:rPr>
                <w:rFonts w:ascii="仿宋" w:hAnsi="仿宋" w:eastAsia="仿宋" w:cs="仿宋"/>
                <w:szCs w:val="21"/>
                <w:vertAlign w:val="superscript"/>
              </w:rPr>
              <w:t>2</w:t>
            </w:r>
            <w:r>
              <w:rPr>
                <w:rFonts w:ascii="仿宋" w:hAnsi="仿宋" w:eastAsia="仿宋" w:cs="仿宋"/>
                <w:szCs w:val="21"/>
              </w:rPr>
              <w:t>，有效期限自2020年4月17日至2043年3月16日</w:t>
            </w:r>
            <w:r>
              <w:rPr>
                <w:rFonts w:hint="eastAsia" w:ascii="仿宋" w:hAnsi="仿宋" w:eastAsia="仿宋" w:cs="仿宋"/>
                <w:szCs w:val="21"/>
              </w:rPr>
              <w:t>；</w:t>
            </w:r>
            <w:r>
              <w:rPr>
                <w:rFonts w:ascii="仿宋" w:hAnsi="仿宋" w:eastAsia="仿宋" w:cs="仿宋"/>
                <w:szCs w:val="21"/>
              </w:rPr>
              <w:t>安全生产许可证</w:t>
            </w:r>
            <w:r>
              <w:rPr>
                <w:rFonts w:hint="eastAsia" w:ascii="仿宋" w:hAnsi="仿宋" w:eastAsia="仿宋" w:cs="仿宋"/>
                <w:szCs w:val="21"/>
              </w:rPr>
              <w:t>编</w:t>
            </w:r>
            <w:r>
              <w:rPr>
                <w:rFonts w:ascii="仿宋" w:hAnsi="仿宋" w:eastAsia="仿宋" w:cs="仿宋"/>
                <w:szCs w:val="21"/>
              </w:rPr>
              <w:t>号：（渝）FM安许证字〔20</w:t>
            </w:r>
            <w:r>
              <w:rPr>
                <w:rFonts w:hint="eastAsia" w:ascii="仿宋" w:hAnsi="仿宋" w:eastAsia="仿宋" w:cs="仿宋"/>
                <w:szCs w:val="21"/>
              </w:rPr>
              <w:t>21</w:t>
            </w:r>
            <w:r>
              <w:rPr>
                <w:rFonts w:ascii="仿宋" w:hAnsi="仿宋" w:eastAsia="仿宋" w:cs="仿宋"/>
                <w:szCs w:val="21"/>
              </w:rPr>
              <w:t>〕</w:t>
            </w:r>
            <w:r>
              <w:rPr>
                <w:rFonts w:hint="eastAsia" w:ascii="仿宋" w:hAnsi="仿宋" w:eastAsia="仿宋" w:cs="仿宋"/>
                <w:szCs w:val="21"/>
              </w:rPr>
              <w:t>巴南130134</w:t>
            </w:r>
            <w:r>
              <w:rPr>
                <w:rFonts w:ascii="仿宋" w:hAnsi="仿宋" w:eastAsia="仿宋" w:cs="仿宋"/>
                <w:szCs w:val="21"/>
              </w:rPr>
              <w:t>号，有效期限自20</w:t>
            </w:r>
            <w:r>
              <w:rPr>
                <w:rFonts w:hint="eastAsia" w:ascii="仿宋" w:hAnsi="仿宋" w:eastAsia="仿宋" w:cs="仿宋"/>
                <w:szCs w:val="21"/>
              </w:rPr>
              <w:t>21</w:t>
            </w:r>
            <w:r>
              <w:rPr>
                <w:rFonts w:ascii="仿宋" w:hAnsi="仿宋" w:eastAsia="仿宋" w:cs="仿宋"/>
                <w:szCs w:val="21"/>
              </w:rPr>
              <w:t>年</w:t>
            </w:r>
            <w:r>
              <w:rPr>
                <w:rFonts w:hint="eastAsia" w:ascii="仿宋" w:hAnsi="仿宋" w:eastAsia="仿宋" w:cs="仿宋"/>
                <w:szCs w:val="21"/>
              </w:rPr>
              <w:t>12</w:t>
            </w:r>
            <w:r>
              <w:rPr>
                <w:rFonts w:ascii="仿宋" w:hAnsi="仿宋" w:eastAsia="仿宋" w:cs="仿宋"/>
                <w:szCs w:val="21"/>
              </w:rPr>
              <w:t>月</w:t>
            </w:r>
            <w:r>
              <w:rPr>
                <w:rFonts w:hint="eastAsia" w:ascii="仿宋" w:hAnsi="仿宋" w:eastAsia="仿宋" w:cs="仿宋"/>
                <w:szCs w:val="21"/>
              </w:rPr>
              <w:t>2</w:t>
            </w:r>
            <w:r>
              <w:rPr>
                <w:rFonts w:ascii="仿宋" w:hAnsi="仿宋" w:eastAsia="仿宋" w:cs="仿宋"/>
                <w:szCs w:val="21"/>
              </w:rPr>
              <w:t>8日至202</w:t>
            </w:r>
            <w:r>
              <w:rPr>
                <w:rFonts w:hint="eastAsia" w:ascii="仿宋" w:hAnsi="仿宋" w:eastAsia="仿宋" w:cs="仿宋"/>
                <w:szCs w:val="21"/>
              </w:rPr>
              <w:t>4</w:t>
            </w:r>
            <w:r>
              <w:rPr>
                <w:rFonts w:ascii="仿宋" w:hAnsi="仿宋" w:eastAsia="仿宋" w:cs="仿宋"/>
                <w:szCs w:val="21"/>
              </w:rPr>
              <w:t>年1</w:t>
            </w:r>
            <w:r>
              <w:rPr>
                <w:rFonts w:hint="eastAsia" w:ascii="仿宋" w:hAnsi="仿宋" w:eastAsia="仿宋" w:cs="仿宋"/>
                <w:szCs w:val="21"/>
              </w:rPr>
              <w:t>2</w:t>
            </w:r>
            <w:r>
              <w:rPr>
                <w:rFonts w:ascii="仿宋" w:hAnsi="仿宋" w:eastAsia="仿宋" w:cs="仿宋"/>
                <w:szCs w:val="21"/>
              </w:rPr>
              <w:t>月</w:t>
            </w:r>
            <w:r>
              <w:rPr>
                <w:rFonts w:hint="eastAsia" w:ascii="仿宋" w:hAnsi="仿宋" w:eastAsia="仿宋" w:cs="仿宋"/>
                <w:szCs w:val="21"/>
              </w:rPr>
              <w:t>2</w:t>
            </w:r>
            <w:r>
              <w:rPr>
                <w:rFonts w:ascii="仿宋" w:hAnsi="仿宋" w:eastAsia="仿宋" w:cs="仿宋"/>
                <w:szCs w:val="21"/>
              </w:rPr>
              <w:t>7日。</w:t>
            </w:r>
          </w:p>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20</w:t>
            </w:r>
            <w:r>
              <w:rPr>
                <w:rFonts w:hint="eastAsia" w:ascii="仿宋" w:hAnsi="仿宋" w:eastAsia="仿宋" w:cs="仿宋"/>
                <w:szCs w:val="21"/>
              </w:rPr>
              <w:t>23</w:t>
            </w:r>
            <w:r>
              <w:rPr>
                <w:rFonts w:ascii="仿宋" w:hAnsi="仿宋" w:eastAsia="仿宋" w:cs="仿宋"/>
                <w:szCs w:val="21"/>
              </w:rPr>
              <w:t>年</w:t>
            </w:r>
            <w:r>
              <w:rPr>
                <w:rFonts w:hint="eastAsia" w:ascii="仿宋" w:hAnsi="仿宋" w:eastAsia="仿宋" w:cs="仿宋"/>
                <w:szCs w:val="21"/>
              </w:rPr>
              <w:t>12</w:t>
            </w:r>
            <w:r>
              <w:rPr>
                <w:rFonts w:ascii="仿宋" w:hAnsi="仿宋" w:eastAsia="仿宋" w:cs="仿宋"/>
                <w:szCs w:val="21"/>
              </w:rPr>
              <w:t>月，企业委托重庆道尔工程技术有限公司编制了《重庆国耀投资管理有限公司重庆市巴南区姜家镇槐园村新房子社建筑石料用灰岩矿（改建）安全设施重大变更设计》，取得了重庆市应急管理局</w:t>
            </w:r>
            <w:r>
              <w:rPr>
                <w:rFonts w:hint="eastAsia" w:ascii="仿宋" w:hAnsi="仿宋" w:eastAsia="仿宋" w:cs="仿宋"/>
                <w:szCs w:val="21"/>
              </w:rPr>
              <w:t>设计</w:t>
            </w:r>
            <w:r>
              <w:rPr>
                <w:rFonts w:ascii="仿宋" w:hAnsi="仿宋" w:eastAsia="仿宋" w:cs="仿宋"/>
                <w:szCs w:val="21"/>
              </w:rPr>
              <w:t>批复（渝应急非煤复〔20</w:t>
            </w:r>
            <w:r>
              <w:rPr>
                <w:rFonts w:hint="eastAsia" w:ascii="仿宋" w:hAnsi="仿宋" w:eastAsia="仿宋" w:cs="仿宋"/>
                <w:szCs w:val="21"/>
              </w:rPr>
              <w:t>24</w:t>
            </w:r>
            <w:r>
              <w:rPr>
                <w:rFonts w:ascii="仿宋" w:hAnsi="仿宋" w:eastAsia="仿宋" w:cs="仿宋"/>
                <w:szCs w:val="21"/>
              </w:rPr>
              <w:t>〕</w:t>
            </w:r>
            <w:r>
              <w:rPr>
                <w:rFonts w:hint="eastAsia" w:ascii="仿宋" w:hAnsi="仿宋" w:eastAsia="仿宋" w:cs="仿宋"/>
                <w:szCs w:val="21"/>
              </w:rPr>
              <w:t>2号</w:t>
            </w:r>
            <w:r>
              <w:rPr>
                <w:rFonts w:ascii="仿宋" w:hAnsi="仿宋" w:eastAsia="仿宋" w:cs="仿宋"/>
                <w:szCs w:val="21"/>
              </w:rPr>
              <w:t>），设计分一期、二期依次开采。在获得开工许可后，重庆国耀投资管理有限公司依据重大变更设计对矿山一期进行建设。截止目前，企业已完成矿山一期主体工程及安全设施建设，</w:t>
            </w:r>
            <w:r>
              <w:rPr>
                <w:rFonts w:hint="eastAsia" w:ascii="仿宋" w:hAnsi="仿宋" w:eastAsia="仿宋" w:cs="仿宋"/>
                <w:szCs w:val="21"/>
              </w:rPr>
              <w:t>各系统运转正常，安全管理制度执行良好，</w:t>
            </w:r>
            <w:r>
              <w:rPr>
                <w:rFonts w:ascii="仿宋" w:hAnsi="仿宋" w:eastAsia="仿宋" w:cs="仿宋"/>
                <w:szCs w:val="21"/>
              </w:rPr>
              <w:t>已基本具备安全设施验收条件。</w:t>
            </w:r>
          </w:p>
          <w:p>
            <w:pPr>
              <w:adjustRightInd w:val="0"/>
              <w:snapToGrid w:val="0"/>
              <w:spacing w:line="276" w:lineRule="auto"/>
              <w:ind w:left="66" w:leftChars="14" w:right="107" w:rightChars="51" w:hanging="37" w:hangingChars="18"/>
              <w:jc w:val="center"/>
              <w:rPr>
                <w:rFonts w:hint="eastAsia" w:ascii="仿宋" w:hAnsi="仿宋" w:eastAsia="仿宋" w:cs="仿宋"/>
                <w:color w:val="000000"/>
                <w:szCs w:val="21"/>
              </w:rPr>
            </w:pPr>
            <w:r>
              <w:drawing>
                <wp:inline distT="0" distB="0" distL="114300" distR="114300">
                  <wp:extent cx="3443605" cy="2572385"/>
                  <wp:effectExtent l="0" t="0" r="4445" b="1841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3443605" cy="2572385"/>
                          </a:xfrm>
                          <a:prstGeom prst="rect">
                            <a:avLst/>
                          </a:prstGeom>
                          <a:noFill/>
                          <a:ln>
                            <a:noFill/>
                          </a:ln>
                        </pic:spPr>
                      </pic:pic>
                    </a:graphicData>
                  </a:graphic>
                </wp:inline>
              </w:drawing>
            </w:r>
            <w:r>
              <w:drawing>
                <wp:inline distT="0" distB="0" distL="114300" distR="114300">
                  <wp:extent cx="3552825" cy="2586990"/>
                  <wp:effectExtent l="0" t="0" r="9525" b="381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a:stretch>
                            <a:fillRect/>
                          </a:stretch>
                        </pic:blipFill>
                        <pic:spPr>
                          <a:xfrm>
                            <a:off x="0" y="0"/>
                            <a:ext cx="3552825" cy="25869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1837"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371"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1837"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371" w:type="dxa"/>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2024年4月25日</w:t>
            </w:r>
          </w:p>
        </w:tc>
        <w:tc>
          <w:tcPr>
            <w:tcW w:w="1226" w:type="dxa"/>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1837" w:type="dxa"/>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刘陶</w:t>
            </w:r>
          </w:p>
        </w:tc>
        <w:tc>
          <w:tcPr>
            <w:tcW w:w="2371" w:type="dxa"/>
            <w:noWrap w:val="0"/>
            <w:vAlign w:val="center"/>
          </w:tcPr>
          <w:p>
            <w:pPr>
              <w:spacing w:line="300" w:lineRule="exact"/>
              <w:jc w:val="center"/>
              <w:rPr>
                <w:rFonts w:hint="eastAsia" w:ascii="仿宋" w:hAnsi="仿宋" w:eastAsia="仿宋" w:cs="仿宋"/>
                <w:spacing w:val="-14"/>
                <w:szCs w:val="21"/>
              </w:rPr>
            </w:pPr>
            <w:r>
              <w:rPr>
                <w:rFonts w:hint="eastAsia" w:ascii="仿宋" w:hAnsi="仿宋" w:eastAsia="仿宋" w:cs="仿宋"/>
                <w:spacing w:val="-14"/>
                <w:szCs w:val="21"/>
              </w:rPr>
              <w:t>2024年4月25日</w:t>
            </w:r>
          </w:p>
        </w:tc>
        <w:tc>
          <w:tcPr>
            <w:tcW w:w="1226" w:type="dxa"/>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D373B9"/>
    <w:rsid w:val="1ED373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2024-07-17T07:22:00Z</dcterms:created>
  <dc:creator>雷楠</dc:creator>
  <cp:lastModifiedBy>雷楠</cp:lastModifiedBy>
  <dcterms:modified xsi:type="dcterms:W3CDTF">2024-07-17T07:23:15Z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