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  <w:t>福安药业集团重庆博圣制药有限公司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left"/>
              <w:rPr>
                <w:rFonts w:hint="eastAsia" w:ascii="仿宋" w:hAnsi="仿宋" w:eastAsia="仿宋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  <w:t>福安药业集团重庆博圣制药有限公司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原料药绿色智造技术改造（升级）项目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  <w:t>设立安全评价报告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危化企业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席刚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2024.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张圣菊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席  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top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S011032000110192001214/021106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55070030059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top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S011053000110192002987/035615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top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S011053000110192002940/037978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--</w:t>
            </w:r>
          </w:p>
        </w:tc>
        <w:tc>
          <w:tcPr>
            <w:tcW w:w="1663" w:type="dxa"/>
            <w:vAlign w:val="top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top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1800000000201223/020783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top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肖泽均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top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top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top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S011053000110192003137/035874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top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top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S011053000110191001147/019244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2661" w:type="dxa"/>
            <w:gridSpan w:val="5"/>
            <w:vAlign w:val="top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S011053000110192003004/035894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自动化（仪表）</w:t>
            </w:r>
          </w:p>
        </w:tc>
        <w:tc>
          <w:tcPr>
            <w:tcW w:w="2661" w:type="dxa"/>
            <w:gridSpan w:val="5"/>
            <w:vAlign w:val="top"/>
          </w:tcPr>
          <w:p>
            <w:pPr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1700000000201153/019235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202/019324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项目名称：原料药绿色智造技术改造（升级）项目</w:t>
            </w:r>
          </w:p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建设单位：福安药业集团重庆博圣制药有限公司</w:t>
            </w:r>
          </w:p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企业产业属性：依据《精细化工企业工程设计防火标准》（GB51283-2020）条文说明2术语“表2 精细化工产品分类举例”，博圣制药产品属“15医药类”，故属精细化工企业</w:t>
            </w:r>
          </w:p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建设地点：化南一路1号（一二分厂原厂区内）</w:t>
            </w:r>
          </w:p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项目性质：改、扩建</w:t>
            </w:r>
          </w:p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项目总投资：3000万元</w:t>
            </w:r>
          </w:p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占地面积：2287.00m2</w:t>
            </w:r>
          </w:p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劳动定员：53人</w:t>
            </w:r>
          </w:p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装置年生产日：330天，7920h/a；四班三运转；8小时/班</w:t>
            </w:r>
          </w:p>
          <w:p>
            <w:pPr>
              <w:adjustRightInd w:val="0"/>
              <w:snapToGrid w:val="0"/>
              <w:ind w:firstLine="420"/>
              <w:jc w:val="left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现场勘察照片：</w:t>
            </w:r>
          </w:p>
          <w:p>
            <w:pPr>
              <w:adjustRightInd w:val="0"/>
              <w:snapToGrid w:val="0"/>
              <w:ind w:firstLine="420"/>
              <w:jc w:val="left"/>
              <w:rPr>
                <w:rFonts w:hint="eastAsia" w:ascii="仿宋" w:hAnsi="仿宋" w:eastAsia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 </w:t>
            </w:r>
            <w:r>
              <w:drawing>
                <wp:inline distT="0" distB="0" distL="114300" distR="114300">
                  <wp:extent cx="2228850" cy="2990850"/>
                  <wp:effectExtent l="0" t="0" r="0" b="0"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299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171950" cy="3152775"/>
                  <wp:effectExtent l="0" t="0" r="0" b="9525"/>
                  <wp:docPr id="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950" cy="315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048125" cy="2333625"/>
                  <wp:effectExtent l="0" t="0" r="9525" b="9525"/>
                  <wp:docPr id="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8125" cy="2333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席刚、张郑平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2024.7.31、2024.4.12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席刚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</w:t>
            </w:r>
            <w:r>
              <w:rPr>
                <w:rFonts w:ascii="仿宋" w:hAnsi="仿宋" w:eastAsia="仿宋"/>
                <w:sz w:val="21"/>
                <w:szCs w:val="21"/>
              </w:rPr>
              <w:t>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22.1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0D2799"/>
    <w:rsid w:val="440D2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3">
    <w:name w:val="toc 4"/>
    <w:basedOn w:val="1"/>
    <w:next w:val="1"/>
    <w:qFormat/>
    <w:uiPriority w:val="39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2024-08-01T09:14:00Z</dcterms:created>
  <dc:creator>雷楠</dc:creator>
  <cp:lastModifiedBy>雷楠</cp:lastModifiedBy>
  <dcterms:modified xsi:type="dcterms:W3CDTF">2024-08-01T09:14:34Z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