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中国石油天然气股份有限公司重庆南川销售分公司神童加油站安全现状评价报告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color w:val="000000"/>
                <w:kern w:val="0"/>
                <w:szCs w:val="28"/>
              </w:rPr>
            </w:pPr>
            <w:r>
              <w:rPr>
                <w:rFonts w:ascii="Arial" w:hAnsi="Arial" w:cs="Arial"/>
                <w:color w:val="000000"/>
                <w:szCs w:val="28"/>
              </w:rPr>
              <w:t>中国石油天然气股份有限公司重庆南川销售分公司神童加油站（以下简称：</w:t>
            </w:r>
            <w:r>
              <w:rPr>
                <w:rFonts w:hint="eastAsia" w:ascii="Arial" w:hAnsi="Arial" w:cs="Arial"/>
                <w:color w:val="000000"/>
                <w:szCs w:val="28"/>
              </w:rPr>
              <w:t>神童加油站</w:t>
            </w:r>
            <w:r>
              <w:rPr>
                <w:rFonts w:ascii="Arial" w:hAnsi="Arial" w:cs="Arial"/>
                <w:color w:val="000000"/>
                <w:szCs w:val="28"/>
              </w:rPr>
              <w:t>）位于重庆市南川区神童镇金钟村四社</w:t>
            </w:r>
            <w:r>
              <w:rPr>
                <w:rFonts w:ascii="Arial" w:hAnsi="Arial" w:cs="Arial"/>
                <w:color w:val="000000"/>
              </w:rPr>
              <w:t>。</w:t>
            </w:r>
            <w:r>
              <w:rPr>
                <w:rFonts w:ascii="Arial" w:hAnsi="Arial" w:cs="Arial"/>
                <w:color w:val="000000"/>
                <w:kern w:val="0"/>
                <w:szCs w:val="28"/>
              </w:rPr>
              <w:t>神童加油站始建于2003</w:t>
            </w:r>
            <w:r>
              <w:rPr>
                <w:rFonts w:hint="eastAsia" w:ascii="Arial" w:hAnsi="Arial" w:cs="Arial"/>
                <w:color w:val="000000"/>
                <w:kern w:val="0"/>
                <w:szCs w:val="28"/>
              </w:rPr>
              <w:t>年4月，站区于</w:t>
            </w:r>
            <w:r>
              <w:rPr>
                <w:rFonts w:ascii="Arial" w:hAnsi="Arial" w:cs="Arial"/>
                <w:color w:val="000000"/>
                <w:kern w:val="0"/>
                <w:szCs w:val="28"/>
              </w:rPr>
              <w:t>2015年5月进行罐体防渗改造后重新投入使用。占地面积1650m</w:t>
            </w:r>
            <w:r>
              <w:rPr>
                <w:rFonts w:ascii="Arial" w:hAnsi="Arial" w:cs="Arial"/>
                <w:color w:val="000000"/>
                <w:kern w:val="0"/>
                <w:szCs w:val="28"/>
                <w:vertAlign w:val="superscript"/>
              </w:rPr>
              <w:t>2</w:t>
            </w:r>
            <w:r>
              <w:rPr>
                <w:rFonts w:hint="eastAsia" w:ascii="Arial" w:hAnsi="Arial" w:cs="Arial"/>
                <w:color w:val="000000"/>
                <w:kern w:val="0"/>
                <w:szCs w:val="28"/>
              </w:rPr>
              <w:t>，</w:t>
            </w:r>
            <w:r>
              <w:rPr>
                <w:rFonts w:ascii="Arial" w:hAnsi="Arial" w:cs="Arial"/>
                <w:color w:val="000000"/>
              </w:rPr>
              <w:t>该</w:t>
            </w:r>
            <w:r>
              <w:rPr>
                <w:rFonts w:hint="eastAsia" w:ascii="Arial" w:hAnsi="Arial" w:cs="Arial"/>
                <w:color w:val="000000"/>
                <w:kern w:val="0"/>
                <w:szCs w:val="28"/>
              </w:rPr>
              <w:t>加油站油罐区现有单层钢制油罐</w:t>
            </w:r>
            <w:r>
              <w:rPr>
                <w:rFonts w:ascii="Arial" w:hAnsi="Arial" w:cs="Arial"/>
                <w:color w:val="000000"/>
                <w:kern w:val="0"/>
                <w:szCs w:val="28"/>
              </w:rPr>
              <w:t>2个，其中30m</w:t>
            </w:r>
            <w:r>
              <w:rPr>
                <w:rFonts w:ascii="Arial" w:hAnsi="Arial" w:cs="Arial"/>
                <w:color w:val="000000"/>
                <w:kern w:val="0"/>
                <w:szCs w:val="28"/>
                <w:vertAlign w:val="superscript"/>
              </w:rPr>
              <w:t>3</w:t>
            </w:r>
            <w:r>
              <w:rPr>
                <w:rFonts w:ascii="Arial" w:hAnsi="Arial" w:cs="Arial"/>
                <w:color w:val="000000"/>
                <w:kern w:val="0"/>
                <w:szCs w:val="28"/>
              </w:rPr>
              <w:t>的92#汽油罐1</w:t>
            </w:r>
            <w:r>
              <w:rPr>
                <w:rFonts w:hint="eastAsia" w:ascii="Arial" w:hAnsi="Arial" w:cs="Arial"/>
                <w:color w:val="000000"/>
                <w:kern w:val="0"/>
                <w:szCs w:val="28"/>
              </w:rPr>
              <w:t>个</w:t>
            </w:r>
            <w:r>
              <w:rPr>
                <w:rFonts w:ascii="Arial" w:hAnsi="Arial" w:cs="Arial"/>
                <w:color w:val="000000"/>
                <w:kern w:val="0"/>
                <w:szCs w:val="28"/>
              </w:rPr>
              <w:t>，30m</w:t>
            </w:r>
            <w:r>
              <w:rPr>
                <w:rFonts w:ascii="Arial" w:hAnsi="Arial" w:cs="Arial"/>
                <w:color w:val="000000"/>
                <w:kern w:val="0"/>
                <w:szCs w:val="28"/>
                <w:vertAlign w:val="superscript"/>
              </w:rPr>
              <w:t>3</w:t>
            </w:r>
            <w:r>
              <w:rPr>
                <w:rFonts w:ascii="Arial" w:hAnsi="Arial" w:cs="Arial"/>
                <w:color w:val="000000"/>
                <w:kern w:val="0"/>
                <w:szCs w:val="28"/>
              </w:rPr>
              <w:t>的0#柴油罐1</w:t>
            </w:r>
            <w:r>
              <w:rPr>
                <w:rFonts w:hint="eastAsia" w:ascii="Arial" w:hAnsi="Arial" w:cs="Arial"/>
                <w:color w:val="000000"/>
                <w:kern w:val="0"/>
                <w:szCs w:val="28"/>
              </w:rPr>
              <w:t>个</w:t>
            </w:r>
            <w:r>
              <w:rPr>
                <w:rFonts w:ascii="Arial" w:hAnsi="Arial" w:cs="Arial"/>
                <w:color w:val="000000"/>
                <w:kern w:val="0"/>
                <w:szCs w:val="28"/>
              </w:rPr>
              <w:t>，总容量（柴油折半算）45m³</w:t>
            </w:r>
            <w:r>
              <w:rPr>
                <w:rFonts w:hint="eastAsia" w:ascii="Arial" w:hAnsi="Arial" w:cs="Arial"/>
                <w:color w:val="000000"/>
                <w:kern w:val="0"/>
                <w:szCs w:val="28"/>
              </w:rPr>
              <w:t>，</w:t>
            </w:r>
            <w:r>
              <w:rPr>
                <w:rFonts w:ascii="Arial" w:hAnsi="Arial" w:cs="Arial"/>
                <w:color w:val="000000"/>
                <w:kern w:val="0"/>
                <w:szCs w:val="28"/>
              </w:rPr>
              <w:t>属于三级加油站。</w:t>
            </w:r>
            <w:r>
              <w:rPr>
                <w:rFonts w:hint="eastAsia" w:ascii="Arial" w:hAnsi="Arial" w:cs="Arial"/>
                <w:color w:val="000000"/>
                <w:kern w:val="0"/>
                <w:szCs w:val="28"/>
              </w:rPr>
              <w:t>储罐区</w:t>
            </w:r>
            <w:r>
              <w:rPr>
                <w:rFonts w:ascii="Arial" w:hAnsi="Arial" w:cs="Arial"/>
                <w:color w:val="000000"/>
                <w:kern w:val="0"/>
                <w:szCs w:val="28"/>
              </w:rPr>
              <w:t>为非</w:t>
            </w:r>
            <w:r>
              <w:rPr>
                <w:rFonts w:hint="eastAsia" w:ascii="Arial" w:hAnsi="Arial" w:cs="Arial"/>
                <w:color w:val="000000"/>
                <w:kern w:val="0"/>
                <w:szCs w:val="28"/>
              </w:rPr>
              <w:t>承重钢筋混凝土结构的防渗罐池；</w:t>
            </w:r>
            <w:r>
              <w:rPr>
                <w:rFonts w:ascii="Arial" w:hAnsi="Arial" w:cs="Arial"/>
                <w:color w:val="000000"/>
                <w:kern w:val="0"/>
                <w:szCs w:val="28"/>
              </w:rPr>
              <w:t>输油管道为单层无缝钢管，沿钢筋混凝土</w:t>
            </w:r>
            <w:r>
              <w:rPr>
                <w:rFonts w:hint="eastAsia" w:ascii="Arial" w:hAnsi="Arial" w:cs="Arial"/>
                <w:color w:val="000000"/>
                <w:kern w:val="0"/>
                <w:szCs w:val="28"/>
              </w:rPr>
              <w:t>结构的防渗管沟敷设。</w:t>
            </w:r>
            <w:r>
              <w:rPr>
                <w:rFonts w:ascii="Arial" w:hAnsi="Arial" w:cs="Arial"/>
                <w:color w:val="000000"/>
                <w:kern w:val="0"/>
                <w:szCs w:val="28"/>
              </w:rPr>
              <w:t>加油站采用密闭卸油方式及潜油泵加油工艺，加油站现有双枪加油机2</w:t>
            </w:r>
            <w:r>
              <w:rPr>
                <w:rFonts w:hint="eastAsia" w:ascii="Arial" w:hAnsi="Arial" w:cs="Arial"/>
                <w:color w:val="000000"/>
                <w:kern w:val="0"/>
                <w:szCs w:val="28"/>
              </w:rPr>
              <w:t>台，主要经营</w:t>
            </w:r>
            <w:r>
              <w:rPr>
                <w:rFonts w:ascii="Arial" w:hAnsi="Arial" w:cs="Arial"/>
                <w:color w:val="000000"/>
                <w:kern w:val="0"/>
                <w:szCs w:val="28"/>
              </w:rPr>
              <w:t>92#汽油和0#柴油。</w:t>
            </w:r>
          </w:p>
          <w:p>
            <w:pPr>
              <w:pStyle w:val="2"/>
              <w:rPr>
                <w:rFonts w:hint="eastAsia"/>
                <w:lang w:eastAsia="zh-CN"/>
              </w:rPr>
            </w:pPr>
            <w:r>
              <w:drawing>
                <wp:inline distT="0" distB="0" distL="114300" distR="114300">
                  <wp:extent cx="4124325" cy="29813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298132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3D7FFA"/>
    <w:rsid w:val="763D7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2024-07-12T02:21:00Z</dcterms:created>
  <dc:creator>雷楠</dc:creator>
  <cp:lastModifiedBy>雷楠</cp:lastModifiedBy>
  <dcterms:modified xsi:type="dcterms:W3CDTF">2024-07-12T02:21:47Z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