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重庆中油两江发展有限公司疏港加油</w:t>
            </w:r>
            <w:r>
              <w:rPr>
                <w:rFonts w:hint="eastAsia" w:ascii="仿宋" w:hAnsi="仿宋" w:eastAsia="仿宋"/>
                <w:szCs w:val="21"/>
                <w:lang w:val="en-US" w:eastAsia="zh-CN"/>
              </w:rPr>
              <w:t>加气</w:t>
            </w:r>
            <w:r>
              <w:rPr>
                <w:rFonts w:hint="eastAsia" w:ascii="仿宋" w:hAnsi="仿宋" w:eastAsia="仿宋"/>
                <w:szCs w:val="21"/>
                <w:lang w:eastAsia="zh-CN"/>
              </w:rPr>
              <w:t>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vAlign w:val="center"/>
          </w:tcPr>
          <w:p>
            <w:pPr>
              <w:jc w:val="center"/>
              <w:rPr>
                <w:rFonts w:hint="eastAsia" w:ascii="仿宋" w:hAnsi="仿宋" w:eastAsia="仿宋"/>
                <w:bCs/>
                <w:szCs w:val="21"/>
              </w:rPr>
            </w:pPr>
            <w:r>
              <w:rPr>
                <w:rFonts w:hint="eastAsia" w:ascii="仿宋" w:hAnsi="仿宋" w:eastAsia="仿宋"/>
                <w:bCs/>
                <w:szCs w:val="21"/>
              </w:rPr>
              <w:t>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 xml:space="preserve">验收评价    </w:t>
            </w:r>
            <w:r>
              <w:rPr>
                <w:rFonts w:hint="eastAsia" w:ascii="仿宋" w:hAnsi="仿宋" w:eastAsia="仿宋"/>
                <w:szCs w:val="21"/>
                <w:lang w:eastAsia="zh-CN"/>
              </w:rPr>
              <w:t>□</w:t>
            </w:r>
            <w:r>
              <w:rPr>
                <w:rFonts w:hint="eastAsia" w:ascii="仿宋" w:hAnsi="仿宋" w:eastAsia="仿宋"/>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2067" w:type="dxa"/>
            <w:gridSpan w:val="2"/>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vAlign w:val="top"/>
          </w:tcPr>
          <w:p>
            <w:pPr>
              <w:spacing w:line="400" w:lineRule="exact"/>
              <w:ind w:firstLine="2310" w:firstLineChars="1100"/>
              <w:rPr>
                <w:rFonts w:hint="default" w:ascii="仿宋" w:hAnsi="仿宋" w:eastAsia="仿宋"/>
                <w:szCs w:val="21"/>
                <w:lang w:val="en-US" w:eastAsia="zh-CN"/>
              </w:rPr>
            </w:pPr>
            <w:r>
              <w:rPr>
                <w:rFonts w:hint="eastAsia" w:ascii="仿宋" w:hAnsi="仿宋" w:eastAsia="仿宋"/>
                <w:szCs w:val="21"/>
                <w:lang w:val="en-US" w:eastAsia="zh-CN"/>
              </w:rPr>
              <w:t>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9962" w:type="dxa"/>
            <w:gridSpan w:val="14"/>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390" w:type="dxa"/>
            <w:vMerge w:val="restart"/>
            <w:vAlign w:val="center"/>
          </w:tcPr>
          <w:p>
            <w:pPr>
              <w:spacing w:line="240" w:lineRule="auto"/>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390" w:type="dxa"/>
            <w:vMerge w:val="continue"/>
            <w:vAlign w:val="center"/>
          </w:tcPr>
          <w:p>
            <w:pPr>
              <w:spacing w:line="500" w:lineRule="exact"/>
              <w:jc w:val="center"/>
              <w:rPr>
                <w:rFonts w:hint="eastAsia" w:ascii="仿宋" w:hAnsi="仿宋" w:eastAsia="仿宋"/>
                <w:b/>
                <w:szCs w:val="21"/>
              </w:rPr>
            </w:pPr>
          </w:p>
        </w:tc>
        <w:tc>
          <w:tcPr>
            <w:tcW w:w="2987"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10" w:type="dxa"/>
            <w:gridSpan w:val="6"/>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5" w:type="dxa"/>
            <w:gridSpan w:val="3"/>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390" w:type="dxa"/>
            <w:vMerge w:val="restart"/>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390" w:type="dxa"/>
            <w:vMerge w:val="continue"/>
            <w:vAlign w:val="center"/>
          </w:tcPr>
          <w:p>
            <w:pPr>
              <w:spacing w:line="500" w:lineRule="exact"/>
              <w:jc w:val="center"/>
              <w:rPr>
                <w:rFonts w:hint="eastAsia" w:ascii="仿宋" w:hAnsi="仿宋" w:eastAsia="仿宋"/>
                <w:b/>
                <w:szCs w:val="21"/>
              </w:rPr>
            </w:pPr>
          </w:p>
        </w:tc>
        <w:tc>
          <w:tcPr>
            <w:tcW w:w="2174" w:type="dxa"/>
            <w:gridSpan w:val="3"/>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王燕</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2025年7月</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林先洪</w:t>
            </w:r>
          </w:p>
        </w:tc>
        <w:tc>
          <w:tcPr>
            <w:tcW w:w="2156" w:type="dxa"/>
            <w:gridSpan w:val="2"/>
            <w:vAlign w:val="center"/>
          </w:tcPr>
          <w:p>
            <w:pPr>
              <w:spacing w:line="500" w:lineRule="exact"/>
              <w:jc w:val="center"/>
              <w:rPr>
                <w:rFonts w:hint="eastAsia"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李  伟</w:t>
            </w:r>
          </w:p>
        </w:tc>
        <w:tc>
          <w:tcPr>
            <w:tcW w:w="1586" w:type="dxa"/>
            <w:gridSpan w:val="2"/>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机械</w:t>
            </w:r>
          </w:p>
        </w:tc>
        <w:tc>
          <w:tcPr>
            <w:tcW w:w="2661"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1800000000201223</w:t>
            </w:r>
          </w:p>
        </w:tc>
        <w:tc>
          <w:tcPr>
            <w:tcW w:w="2662"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1663" w:type="dxa"/>
            <w:vAlign w:val="top"/>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贾名涛</w:t>
            </w:r>
          </w:p>
        </w:tc>
        <w:tc>
          <w:tcPr>
            <w:tcW w:w="1586" w:type="dxa"/>
            <w:gridSpan w:val="2"/>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化工机械</w:t>
            </w:r>
          </w:p>
        </w:tc>
        <w:tc>
          <w:tcPr>
            <w:tcW w:w="2661"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2662"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55220298750</w:t>
            </w:r>
          </w:p>
        </w:tc>
        <w:tc>
          <w:tcPr>
            <w:tcW w:w="1663" w:type="dxa"/>
            <w:vAlign w:val="top"/>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王  梅</w:t>
            </w:r>
          </w:p>
        </w:tc>
        <w:tc>
          <w:tcPr>
            <w:tcW w:w="1586" w:type="dxa"/>
            <w:gridSpan w:val="2"/>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电气</w:t>
            </w:r>
          </w:p>
        </w:tc>
        <w:tc>
          <w:tcPr>
            <w:tcW w:w="2661"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1700000000201129</w:t>
            </w:r>
          </w:p>
        </w:tc>
        <w:tc>
          <w:tcPr>
            <w:tcW w:w="2662"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55090076425</w:t>
            </w:r>
          </w:p>
        </w:tc>
        <w:tc>
          <w:tcPr>
            <w:tcW w:w="1663" w:type="dxa"/>
            <w:vAlign w:val="top"/>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罗  刚</w:t>
            </w:r>
          </w:p>
        </w:tc>
        <w:tc>
          <w:tcPr>
            <w:tcW w:w="1586" w:type="dxa"/>
            <w:gridSpan w:val="2"/>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电气</w:t>
            </w:r>
          </w:p>
        </w:tc>
        <w:tc>
          <w:tcPr>
            <w:tcW w:w="2661"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2662"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55210262939</w:t>
            </w:r>
          </w:p>
        </w:tc>
        <w:tc>
          <w:tcPr>
            <w:tcW w:w="1663" w:type="dxa"/>
            <w:vAlign w:val="top"/>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王  燕</w:t>
            </w:r>
          </w:p>
        </w:tc>
        <w:tc>
          <w:tcPr>
            <w:tcW w:w="1586" w:type="dxa"/>
            <w:gridSpan w:val="2"/>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化工工艺</w:t>
            </w:r>
          </w:p>
        </w:tc>
        <w:tc>
          <w:tcPr>
            <w:tcW w:w="2661"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2662"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55250427691</w:t>
            </w:r>
          </w:p>
        </w:tc>
        <w:tc>
          <w:tcPr>
            <w:tcW w:w="1663" w:type="dxa"/>
            <w:vAlign w:val="top"/>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刘文娟</w:t>
            </w:r>
          </w:p>
        </w:tc>
        <w:tc>
          <w:tcPr>
            <w:tcW w:w="1586" w:type="dxa"/>
            <w:gridSpan w:val="2"/>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自动化</w:t>
            </w:r>
          </w:p>
        </w:tc>
        <w:tc>
          <w:tcPr>
            <w:tcW w:w="2661"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1700000000201153</w:t>
            </w:r>
          </w:p>
        </w:tc>
        <w:tc>
          <w:tcPr>
            <w:tcW w:w="2662"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55140156484</w:t>
            </w:r>
          </w:p>
        </w:tc>
        <w:tc>
          <w:tcPr>
            <w:tcW w:w="1663" w:type="dxa"/>
            <w:vAlign w:val="top"/>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薛国臣</w:t>
            </w:r>
          </w:p>
        </w:tc>
        <w:tc>
          <w:tcPr>
            <w:tcW w:w="1586" w:type="dxa"/>
            <w:gridSpan w:val="2"/>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化工工艺</w:t>
            </w:r>
          </w:p>
        </w:tc>
        <w:tc>
          <w:tcPr>
            <w:tcW w:w="2661"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1500000000301976</w:t>
            </w:r>
          </w:p>
        </w:tc>
        <w:tc>
          <w:tcPr>
            <w:tcW w:w="2662"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55130140246</w:t>
            </w:r>
          </w:p>
        </w:tc>
        <w:tc>
          <w:tcPr>
            <w:tcW w:w="1663" w:type="dxa"/>
            <w:vAlign w:val="top"/>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田祖伟</w:t>
            </w:r>
          </w:p>
        </w:tc>
        <w:tc>
          <w:tcPr>
            <w:tcW w:w="1586" w:type="dxa"/>
            <w:gridSpan w:val="2"/>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安全</w:t>
            </w:r>
          </w:p>
        </w:tc>
        <w:tc>
          <w:tcPr>
            <w:tcW w:w="2661"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2662"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55180193956</w:t>
            </w:r>
          </w:p>
        </w:tc>
        <w:tc>
          <w:tcPr>
            <w:tcW w:w="1663" w:type="dxa"/>
            <w:vAlign w:val="top"/>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高胡容</w:t>
            </w:r>
          </w:p>
        </w:tc>
        <w:tc>
          <w:tcPr>
            <w:tcW w:w="1586" w:type="dxa"/>
            <w:gridSpan w:val="2"/>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安全</w:t>
            </w:r>
          </w:p>
        </w:tc>
        <w:tc>
          <w:tcPr>
            <w:tcW w:w="2661"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2662"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55220298705</w:t>
            </w:r>
          </w:p>
        </w:tc>
        <w:tc>
          <w:tcPr>
            <w:tcW w:w="1663" w:type="dxa"/>
            <w:vAlign w:val="top"/>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刘国勇</w:t>
            </w:r>
          </w:p>
        </w:tc>
        <w:tc>
          <w:tcPr>
            <w:tcW w:w="1586" w:type="dxa"/>
            <w:gridSpan w:val="2"/>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化工工艺</w:t>
            </w:r>
          </w:p>
        </w:tc>
        <w:tc>
          <w:tcPr>
            <w:tcW w:w="2661"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1500000000100202</w:t>
            </w:r>
          </w:p>
        </w:tc>
        <w:tc>
          <w:tcPr>
            <w:tcW w:w="2662"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55130140330</w:t>
            </w:r>
          </w:p>
        </w:tc>
        <w:tc>
          <w:tcPr>
            <w:tcW w:w="1663" w:type="dxa"/>
            <w:vAlign w:val="top"/>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8" w:hRule="atLeast"/>
        </w:trPr>
        <w:tc>
          <w:tcPr>
            <w:tcW w:w="139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Times New Roman"/>
                <w:b w:val="0"/>
                <w:bCs/>
                <w:szCs w:val="21"/>
              </w:rPr>
            </w:pPr>
            <w:r>
              <w:rPr>
                <w:rFonts w:hint="eastAsia" w:ascii="仿宋" w:hAnsi="仿宋" w:eastAsia="仿宋" w:cs="Times New Roman"/>
                <w:b w:val="0"/>
                <w:bCs/>
                <w:szCs w:val="21"/>
              </w:rPr>
              <w:t>项目简介</w:t>
            </w:r>
          </w:p>
        </w:tc>
        <w:tc>
          <w:tcPr>
            <w:tcW w:w="8572" w:type="dxa"/>
            <w:gridSpan w:val="13"/>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Times New Roman"/>
                <w:b w:val="0"/>
                <w:bCs/>
                <w:szCs w:val="21"/>
                <w:lang w:eastAsia="zh-CN"/>
              </w:rPr>
            </w:pPr>
            <w:r>
              <w:rPr>
                <w:rFonts w:hint="eastAsia" w:ascii="仿宋" w:hAnsi="仿宋" w:eastAsia="仿宋" w:cs="Times New Roman"/>
                <w:b w:val="0"/>
                <w:bCs/>
                <w:szCs w:val="21"/>
                <w:lang w:eastAsia="zh-CN"/>
              </w:rPr>
              <w:t>项目简介：</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outlineLvl w:val="9"/>
              <w:rPr>
                <w:rFonts w:hint="eastAsia" w:ascii="仿宋" w:hAnsi="仿宋" w:eastAsia="仿宋" w:cs="Times New Roman"/>
                <w:b w:val="0"/>
                <w:bCs/>
                <w:szCs w:val="21"/>
                <w:lang w:val="en-US" w:eastAsia="zh-CN"/>
              </w:rPr>
            </w:pPr>
            <w:r>
              <w:rPr>
                <w:rFonts w:hint="eastAsia" w:ascii="仿宋" w:hAnsi="仿宋" w:eastAsia="仿宋" w:cs="Times New Roman"/>
                <w:b w:val="0"/>
                <w:bCs/>
                <w:szCs w:val="21"/>
                <w:lang w:val="en-US" w:eastAsia="zh-CN"/>
              </w:rPr>
              <w:t>重庆中油两江发展有限公司疏港加油加气站（站区内仅设置有加油工艺设施，以下简称“疏港加油站”）位于重庆市江北区鱼嘴镇福港大道32号，许可经营范围：零售汽油、柴油。</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default" w:ascii="仿宋" w:hAnsi="仿宋" w:eastAsia="仿宋" w:cs="Times New Roman"/>
                <w:b w:val="0"/>
                <w:bCs/>
                <w:szCs w:val="21"/>
                <w:lang w:val="en-US" w:eastAsia="zh-CN"/>
              </w:rPr>
            </w:pPr>
            <w:r>
              <w:rPr>
                <w:rFonts w:hint="default" w:ascii="仿宋" w:hAnsi="仿宋" w:eastAsia="仿宋" w:cs="Times New Roman"/>
                <w:b w:val="0"/>
                <w:bCs/>
                <w:szCs w:val="21"/>
                <w:lang w:val="en-US" w:eastAsia="zh-CN"/>
              </w:rPr>
              <w:t>疏港加油站设有4个地埋式储油罐，其中2个15m³92#汽油储罐、1个15m³95#汽油储罐、1个30m³0#柴油储罐，合计总容积为60m³（柴油罐容积折半计入油罐总容积）。根据《汽车加油加气加氢站技术标准》（GB50156-2021）对加油站等级划分的规定，疏港加油站为三级加油站。</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outlineLvl w:val="9"/>
              <w:rPr>
                <w:rFonts w:hint="eastAsia" w:ascii="仿宋" w:hAnsi="仿宋" w:eastAsia="仿宋"/>
                <w:sz w:val="21"/>
                <w:szCs w:val="21"/>
              </w:rPr>
            </w:pPr>
            <w:r>
              <w:rPr>
                <w:rFonts w:hint="eastAsia" w:ascii="仿宋" w:hAnsi="仿宋" w:eastAsia="仿宋"/>
                <w:sz w:val="21"/>
                <w:szCs w:val="21"/>
                <w:lang w:eastAsia="zh-CN"/>
              </w:rPr>
              <w:t>疏港加油站</w:t>
            </w:r>
            <w:r>
              <w:rPr>
                <w:rFonts w:hint="eastAsia" w:ascii="仿宋" w:hAnsi="仿宋" w:eastAsia="仿宋"/>
                <w:sz w:val="21"/>
                <w:szCs w:val="21"/>
              </w:rPr>
              <w:t>上次危险化学品经营许可证延期换证的时间为202</w:t>
            </w:r>
            <w:r>
              <w:rPr>
                <w:rFonts w:hint="eastAsia" w:ascii="仿宋" w:hAnsi="仿宋" w:eastAsia="仿宋"/>
                <w:sz w:val="21"/>
                <w:szCs w:val="21"/>
                <w:lang w:val="en-US" w:eastAsia="zh-CN"/>
              </w:rPr>
              <w:t>2</w:t>
            </w:r>
            <w:r>
              <w:rPr>
                <w:rFonts w:hint="eastAsia" w:ascii="仿宋" w:hAnsi="仿宋" w:eastAsia="仿宋"/>
                <w:sz w:val="21"/>
                <w:szCs w:val="21"/>
              </w:rPr>
              <w:t>年</w:t>
            </w:r>
            <w:r>
              <w:rPr>
                <w:rFonts w:hint="eastAsia" w:ascii="仿宋" w:hAnsi="仿宋" w:eastAsia="仿宋"/>
                <w:sz w:val="21"/>
                <w:szCs w:val="21"/>
                <w:lang w:val="en-US" w:eastAsia="zh-CN"/>
              </w:rPr>
              <w:t>12</w:t>
            </w:r>
            <w:r>
              <w:rPr>
                <w:rFonts w:hint="eastAsia" w:ascii="仿宋" w:hAnsi="仿宋" w:eastAsia="仿宋"/>
                <w:sz w:val="21"/>
                <w:szCs w:val="21"/>
              </w:rPr>
              <w:t>月</w:t>
            </w:r>
            <w:r>
              <w:rPr>
                <w:rFonts w:hint="eastAsia" w:ascii="仿宋" w:hAnsi="仿宋" w:eastAsia="仿宋"/>
                <w:sz w:val="21"/>
                <w:szCs w:val="21"/>
                <w:lang w:val="en-US" w:eastAsia="zh-CN"/>
              </w:rPr>
              <w:t>26</w:t>
            </w:r>
            <w:r>
              <w:rPr>
                <w:rFonts w:hint="eastAsia" w:ascii="仿宋" w:hAnsi="仿宋" w:eastAsia="仿宋"/>
                <w:sz w:val="21"/>
                <w:szCs w:val="21"/>
              </w:rPr>
              <w:t>日，有效期至202</w:t>
            </w:r>
            <w:r>
              <w:rPr>
                <w:rFonts w:hint="eastAsia" w:ascii="仿宋" w:hAnsi="仿宋" w:eastAsia="仿宋"/>
                <w:sz w:val="21"/>
                <w:szCs w:val="21"/>
                <w:lang w:val="en-US" w:eastAsia="zh-CN"/>
              </w:rPr>
              <w:t>5</w:t>
            </w:r>
            <w:r>
              <w:rPr>
                <w:rFonts w:hint="eastAsia" w:ascii="仿宋" w:hAnsi="仿宋" w:eastAsia="仿宋"/>
                <w:sz w:val="21"/>
                <w:szCs w:val="21"/>
              </w:rPr>
              <w:t>年</w:t>
            </w:r>
            <w:r>
              <w:rPr>
                <w:rFonts w:hint="eastAsia" w:ascii="仿宋" w:hAnsi="仿宋" w:eastAsia="仿宋"/>
                <w:sz w:val="21"/>
                <w:szCs w:val="21"/>
                <w:lang w:val="en-US" w:eastAsia="zh-CN"/>
              </w:rPr>
              <w:t>8</w:t>
            </w:r>
            <w:r>
              <w:rPr>
                <w:rFonts w:hint="eastAsia" w:ascii="仿宋" w:hAnsi="仿宋" w:eastAsia="仿宋"/>
                <w:sz w:val="21"/>
                <w:szCs w:val="21"/>
              </w:rPr>
              <w:t>月</w:t>
            </w:r>
            <w:r>
              <w:rPr>
                <w:rFonts w:hint="eastAsia" w:ascii="仿宋" w:hAnsi="仿宋" w:eastAsia="仿宋"/>
                <w:sz w:val="21"/>
                <w:szCs w:val="21"/>
                <w:lang w:val="en-US" w:eastAsia="zh-CN"/>
              </w:rPr>
              <w:t>7</w:t>
            </w:r>
            <w:r>
              <w:rPr>
                <w:rFonts w:hint="eastAsia" w:ascii="仿宋" w:hAnsi="仿宋" w:eastAsia="仿宋"/>
                <w:sz w:val="21"/>
                <w:szCs w:val="21"/>
              </w:rPr>
              <w:t>日。依据《中华人民共和国安全生产法</w:t>
            </w:r>
            <w:r>
              <w:rPr>
                <w:rFonts w:hint="eastAsia" w:ascii="仿宋" w:hAnsi="仿宋" w:eastAsia="仿宋"/>
                <w:sz w:val="21"/>
                <w:szCs w:val="21"/>
                <w:lang w:eastAsia="zh-CN"/>
              </w:rPr>
              <w:t>》《</w:t>
            </w:r>
            <w:r>
              <w:rPr>
                <w:rFonts w:hint="eastAsia" w:ascii="仿宋" w:hAnsi="仿宋" w:eastAsia="仿宋"/>
                <w:sz w:val="21"/>
                <w:szCs w:val="21"/>
              </w:rPr>
              <w:t>危险化学品安全管理条例</w:t>
            </w:r>
            <w:r>
              <w:rPr>
                <w:rFonts w:hint="eastAsia" w:ascii="仿宋" w:hAnsi="仿宋" w:eastAsia="仿宋"/>
                <w:sz w:val="21"/>
                <w:szCs w:val="21"/>
                <w:lang w:eastAsia="zh-CN"/>
              </w:rPr>
              <w:t>》《</w:t>
            </w:r>
            <w:r>
              <w:rPr>
                <w:rFonts w:hint="eastAsia" w:ascii="仿宋" w:hAnsi="仿宋" w:eastAsia="仿宋"/>
                <w:sz w:val="21"/>
                <w:szCs w:val="21"/>
              </w:rPr>
              <w:t>危险化学品经营许可证管理办法》等有关法律法规及规定，危险化学品经营单位应当在延期更换危险化学品经营许可证之前委托具备国家规定的资质条件的安全评价机构对本单位的经营条件进行安全评价。因此，</w:t>
            </w:r>
            <w:r>
              <w:rPr>
                <w:rFonts w:hint="eastAsia" w:ascii="仿宋" w:hAnsi="仿宋" w:eastAsia="仿宋"/>
                <w:sz w:val="21"/>
                <w:szCs w:val="21"/>
                <w:lang w:eastAsia="zh-CN"/>
              </w:rPr>
              <w:t>重庆中油两江发展有限公司</w:t>
            </w:r>
            <w:r>
              <w:rPr>
                <w:rFonts w:hint="eastAsia" w:ascii="仿宋" w:hAnsi="仿宋" w:eastAsia="仿宋"/>
                <w:sz w:val="21"/>
                <w:szCs w:val="21"/>
              </w:rPr>
              <w:t>委托重庆市安全生产科学研究有限公司对</w:t>
            </w:r>
            <w:r>
              <w:rPr>
                <w:rFonts w:hint="eastAsia" w:ascii="仿宋" w:hAnsi="仿宋" w:eastAsia="仿宋"/>
                <w:sz w:val="21"/>
                <w:szCs w:val="21"/>
                <w:lang w:eastAsia="zh-CN"/>
              </w:rPr>
              <w:t>疏港加油站</w:t>
            </w:r>
            <w:r>
              <w:rPr>
                <w:rFonts w:hint="eastAsia" w:ascii="仿宋" w:hAnsi="仿宋" w:eastAsia="仿宋"/>
                <w:sz w:val="21"/>
                <w:szCs w:val="21"/>
              </w:rPr>
              <w:t>进行安全现状评价。现场勘察照片：</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仿宋" w:hAnsi="仿宋" w:eastAsia="仿宋"/>
                <w:sz w:val="21"/>
                <w:szCs w:val="21"/>
                <w:lang w:eastAsia="zh-CN"/>
              </w:rPr>
            </w:pPr>
            <w:r>
              <w:drawing>
                <wp:inline distT="0" distB="0" distL="114300" distR="114300">
                  <wp:extent cx="5302250" cy="3783965"/>
                  <wp:effectExtent l="0" t="0" r="1270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302250" cy="378396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hint="eastAsia" w:ascii="仿宋" w:hAnsi="仿宋" w:eastAsia="仿宋"/>
                <w:szCs w:val="21"/>
              </w:rPr>
            </w:pPr>
          </w:p>
        </w:tc>
        <w:tc>
          <w:tcPr>
            <w:tcW w:w="1586" w:type="dxa"/>
            <w:gridSpan w:val="2"/>
            <w:vAlign w:val="center"/>
          </w:tcPr>
          <w:p>
            <w:pPr>
              <w:spacing w:line="300" w:lineRule="exact"/>
              <w:jc w:val="both"/>
              <w:rPr>
                <w:rFonts w:hint="default" w:ascii="仿宋" w:hAnsi="仿宋" w:eastAsia="仿宋"/>
                <w:szCs w:val="21"/>
                <w:lang w:val="en-US" w:eastAsia="zh-CN"/>
              </w:rPr>
            </w:pPr>
            <w:r>
              <w:rPr>
                <w:rFonts w:hint="eastAsia" w:ascii="仿宋" w:hAnsi="仿宋" w:eastAsia="仿宋"/>
                <w:szCs w:val="21"/>
                <w:lang w:val="en-US" w:eastAsia="zh-CN"/>
              </w:rPr>
              <w:t>李伟、王燕</w:t>
            </w:r>
          </w:p>
        </w:tc>
        <w:tc>
          <w:tcPr>
            <w:tcW w:w="2622" w:type="dxa"/>
            <w:gridSpan w:val="4"/>
            <w:vAlign w:val="center"/>
          </w:tcPr>
          <w:p>
            <w:pPr>
              <w:adjustRightInd w:val="0"/>
              <w:snapToGrid w:val="0"/>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2025年7月11日</w:t>
            </w:r>
          </w:p>
        </w:tc>
        <w:tc>
          <w:tcPr>
            <w:tcW w:w="1226" w:type="dxa"/>
            <w:gridSpan w:val="2"/>
            <w:vAlign w:val="center"/>
          </w:tcPr>
          <w:p>
            <w:pPr>
              <w:adjustRightInd w:val="0"/>
              <w:snapToGrid w:val="0"/>
              <w:rPr>
                <w:rFonts w:hint="eastAsia" w:ascii="仿宋" w:hAnsi="仿宋" w:eastAsia="仿宋" w:cs="Times New Roman"/>
                <w:szCs w:val="21"/>
                <w:lang w:eastAsia="zh-CN"/>
              </w:rPr>
            </w:pPr>
            <w:r>
              <w:rPr>
                <w:rFonts w:hint="eastAsia" w:ascii="仿宋" w:hAnsi="仿宋" w:eastAsia="仿宋" w:cs="Times New Roman"/>
                <w:szCs w:val="21"/>
                <w:lang w:eastAsia="zh-CN"/>
              </w:rPr>
              <w:t>勘查周边环境及项目情况</w:t>
            </w:r>
          </w:p>
        </w:tc>
        <w:tc>
          <w:tcPr>
            <w:tcW w:w="3138" w:type="dxa"/>
            <w:gridSpan w:val="5"/>
            <w:vAlign w:val="center"/>
          </w:tcPr>
          <w:p>
            <w:pPr>
              <w:adjustRightInd w:val="0"/>
              <w:snapToGrid w:val="0"/>
              <w:rPr>
                <w:rFonts w:hint="default" w:ascii="仿宋" w:hAnsi="仿宋" w:eastAsia="仿宋" w:cs="Times New Roman"/>
                <w:szCs w:val="21"/>
                <w:lang w:val="en-US" w:eastAsia="zh-CN"/>
              </w:rPr>
            </w:pPr>
            <w:r>
              <w:rPr>
                <w:rFonts w:hint="eastAsia" w:ascii="仿宋" w:hAnsi="仿宋" w:eastAsia="仿宋"/>
                <w:color w:val="000000" w:themeColor="text1"/>
                <w:sz w:val="21"/>
                <w:szCs w:val="21"/>
                <w14:textFill>
                  <w14:solidFill>
                    <w14:schemeClr w14:val="tx1"/>
                  </w14:solidFill>
                </w14:textFill>
              </w:rPr>
              <w:t>详见报告</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216209"/>
    <w:rsid w:val="532162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2025-07-23T06:30:00Z</dcterms:created>
  <dc:creator>雷楠</dc:creator>
  <cp:lastModifiedBy>雷楠</cp:lastModifiedBy>
  <dcterms:modified xsi:type="dcterms:W3CDTF">2025-07-23T06:30:59Z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