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重庆众宇矿业有限公司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重庆众宇矿业有限公司水泥用石灰岩矿（重大变更）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pStyle w:val="4"/>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4"/>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4"/>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2025年6月</w:t>
            </w:r>
          </w:p>
        </w:tc>
        <w:tc>
          <w:tcPr>
            <w:tcW w:w="2169" w:type="dxa"/>
            <w:gridSpan w:val="4"/>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杨平</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widowControl/>
              <w:jc w:val="center"/>
              <w:rPr>
                <w:rFonts w:hint="eastAsia" w:ascii="仿宋" w:hAnsi="仿宋" w:eastAsia="仿宋" w:cs="仿宋"/>
                <w:color w:val="000000"/>
                <w:szCs w:val="21"/>
              </w:rPr>
            </w:pPr>
            <w:r>
              <w:rPr>
                <w:rFonts w:ascii="仿宋" w:hAnsi="仿宋" w:eastAsia="仿宋" w:cs="仿宋"/>
                <w:szCs w:val="21"/>
              </w:rPr>
              <w:t>033517</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ascii="仿宋" w:hAnsi="仿宋" w:eastAsia="仿宋" w:cs="仿宋"/>
                <w:color w:val="000000"/>
                <w:szCs w:val="21"/>
              </w:rPr>
              <w:t>55190219580</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030160</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张郑平</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hint="eastAsia" w:ascii="仿宋" w:hAnsi="仿宋" w:eastAsia="仿宋" w:cs="仿宋"/>
                <w:color w:val="000000"/>
                <w:szCs w:val="21"/>
              </w:rPr>
            </w:pP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szCs w:val="21"/>
              </w:rPr>
              <w:t>55220291726</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hint="eastAsia" w:cs="仿宋"/>
                <w:color w:val="000000"/>
                <w:kern w:val="2"/>
                <w:sz w:val="21"/>
                <w:szCs w:val="21"/>
                <w:lang w:eastAsia="zh-CN"/>
              </w:rPr>
            </w:pPr>
            <w:r>
              <w:rPr>
                <w:rFonts w:hint="eastAsia" w:ascii="仿宋" w:hAnsi="仿宋" w:eastAsia="仿宋" w:cs="仿宋"/>
                <w:color w:val="000000"/>
                <w:szCs w:val="21"/>
              </w:rPr>
              <w:t>电气专业</w:t>
            </w:r>
          </w:p>
        </w:tc>
        <w:tc>
          <w:tcPr>
            <w:tcW w:w="2073" w:type="dxa"/>
            <w:gridSpan w:val="4"/>
            <w:vAlign w:val="center"/>
          </w:tcPr>
          <w:p>
            <w:pPr>
              <w:widowControl/>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90" w:type="dxa"/>
            <w:vAlign w:val="center"/>
          </w:tcPr>
          <w:p>
            <w:pPr>
              <w:widowControl/>
              <w:adjustRightInd w:val="0"/>
              <w:snapToGrid w:val="0"/>
              <w:spacing w:line="460" w:lineRule="exact"/>
              <w:jc w:val="center"/>
              <w:rPr>
                <w:rFonts w:hint="eastAsia" w:ascii="仿宋" w:hAnsi="仿宋" w:eastAsia="仿宋" w:cs="Times New Roman"/>
                <w:kern w:val="2"/>
                <w:sz w:val="21"/>
                <w:szCs w:val="21"/>
                <w:highlight w:val="none"/>
                <w:lang w:val="en-US" w:eastAsia="zh-CN" w:bidi="ar-SA"/>
              </w:rPr>
            </w:pPr>
            <w:r>
              <w:rPr>
                <w:rFonts w:hint="eastAsia" w:ascii="仿宋" w:hAnsi="仿宋" w:eastAsia="仿宋" w:cs="宋体"/>
                <w:kern w:val="0"/>
                <w:szCs w:val="21"/>
              </w:rPr>
              <w:t>闫云光</w:t>
            </w:r>
          </w:p>
        </w:tc>
        <w:tc>
          <w:tcPr>
            <w:tcW w:w="2174" w:type="dxa"/>
            <w:gridSpan w:val="2"/>
            <w:vAlign w:val="center"/>
          </w:tcPr>
          <w:p>
            <w:pPr>
              <w:widowControl/>
              <w:adjustRightInd w:val="0"/>
              <w:snapToGrid w:val="0"/>
              <w:spacing w:line="460" w:lineRule="exact"/>
              <w:jc w:val="center"/>
              <w:rPr>
                <w:rFonts w:hint="eastAsia" w:ascii="仿宋" w:hAnsi="仿宋" w:eastAsia="仿宋" w:cs="Times New Roman"/>
                <w:kern w:val="2"/>
                <w:sz w:val="21"/>
                <w:szCs w:val="21"/>
                <w:highlight w:val="none"/>
                <w:lang w:val="en-US" w:eastAsia="zh-CN" w:bidi="ar-SA"/>
              </w:rPr>
            </w:pPr>
            <w:r>
              <w:rPr>
                <w:rFonts w:hint="eastAsia" w:ascii="仿宋" w:hAnsi="仿宋" w:eastAsia="仿宋" w:cs="宋体"/>
                <w:kern w:val="0"/>
                <w:szCs w:val="21"/>
              </w:rPr>
              <w:t>电气</w:t>
            </w:r>
          </w:p>
        </w:tc>
        <w:tc>
          <w:tcPr>
            <w:tcW w:w="2073" w:type="dxa"/>
            <w:gridSpan w:val="4"/>
            <w:vAlign w:val="center"/>
          </w:tcPr>
          <w:p>
            <w:pPr>
              <w:widowControl/>
              <w:adjustRightInd w:val="0"/>
              <w:snapToGrid w:val="0"/>
              <w:spacing w:line="460" w:lineRule="exact"/>
              <w:jc w:val="center"/>
              <w:rPr>
                <w:rFonts w:hint="eastAsia" w:ascii="仿宋" w:hAnsi="仿宋" w:eastAsia="仿宋" w:cs="Times New Roman"/>
                <w:kern w:val="2"/>
                <w:sz w:val="21"/>
                <w:szCs w:val="21"/>
                <w:lang w:val="en-US" w:eastAsia="zh-CN" w:bidi="ar-SA"/>
              </w:rPr>
            </w:pPr>
          </w:p>
        </w:tc>
        <w:tc>
          <w:tcPr>
            <w:tcW w:w="2662" w:type="dxa"/>
            <w:gridSpan w:val="5"/>
            <w:vAlign w:val="center"/>
          </w:tcPr>
          <w:p>
            <w:pPr>
              <w:widowControl/>
              <w:adjustRightInd w:val="0"/>
              <w:snapToGrid w:val="0"/>
              <w:spacing w:line="460" w:lineRule="exact"/>
              <w:jc w:val="center"/>
              <w:rPr>
                <w:rFonts w:hint="eastAsia" w:ascii="仿宋" w:hAnsi="仿宋" w:eastAsia="仿宋" w:cs="宋体"/>
                <w:kern w:val="0"/>
                <w:sz w:val="21"/>
                <w:szCs w:val="21"/>
                <w:lang w:val="en-US" w:eastAsia="zh-CN" w:bidi="ar-SA"/>
              </w:rPr>
            </w:pPr>
            <w:r>
              <w:rPr>
                <w:rFonts w:ascii="仿宋" w:hAnsi="仿宋" w:eastAsia="仿宋" w:cs="宋体"/>
                <w:kern w:val="0"/>
                <w:szCs w:val="21"/>
              </w:rPr>
              <w:t>55210262938</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wordWrap w:val="0"/>
              <w:adjustRightInd w:val="0"/>
              <w:snapToGrid w:val="0"/>
              <w:spacing w:line="260" w:lineRule="exact"/>
              <w:ind w:firstLine="420" w:firstLineChars="200"/>
              <w:rPr>
                <w:rFonts w:hint="eastAsia" w:ascii="仿宋" w:hAnsi="仿宋" w:eastAsia="仿宋" w:cs="仿宋"/>
                <w:bCs/>
                <w:szCs w:val="21"/>
              </w:rPr>
            </w:pPr>
            <w:bookmarkStart w:id="0" w:name="_Hlk133585417"/>
            <w:bookmarkStart w:id="1" w:name="_Hlk150259360"/>
            <w:bookmarkStart w:id="2" w:name="_Hlk175055116"/>
            <w:bookmarkStart w:id="3" w:name="_Hlk170133514"/>
            <w:bookmarkStart w:id="4" w:name="_Hlk175040954"/>
            <w:r>
              <w:rPr>
                <w:rFonts w:hint="eastAsia" w:ascii="仿宋" w:hAnsi="仿宋" w:eastAsia="仿宋" w:cs="仿宋"/>
                <w:bCs/>
                <w:szCs w:val="21"/>
              </w:rPr>
              <w:t>重庆众宇矿业有限公司成立于2019年06月17日，统一社会信用代码</w:t>
            </w:r>
            <w:r>
              <w:rPr>
                <w:rFonts w:ascii="仿宋" w:hAnsi="仿宋" w:eastAsia="仿宋" w:cs="仿宋"/>
                <w:bCs/>
                <w:szCs w:val="21"/>
              </w:rPr>
              <w:t>91500117 MA60E83EXN</w:t>
            </w:r>
            <w:r>
              <w:rPr>
                <w:rFonts w:hint="eastAsia" w:ascii="仿宋" w:hAnsi="仿宋" w:eastAsia="仿宋" w:cs="仿宋"/>
                <w:bCs/>
                <w:szCs w:val="21"/>
              </w:rPr>
              <w:t>，位于重庆市合川区三汇镇文化街15号，经营范围包括石料、石灰石开采、加工、销售等。重庆众宇矿业有限公司水泥用石灰岩矿位于重庆市合川区三汇镇老龙村，采矿许可证证号：C5001172020057150149853，有效期：2021年9月15日至2025年10月19日，开采矿种为水泥用石灰岩，开采方式为露天开采，生产规模为200万吨/年。安全生产许可证编号：（渝）FM安许证字〔2024〕合川170133号，有效期：2024年12月3日至2027年12月2日。</w:t>
            </w:r>
          </w:p>
          <w:bookmarkEnd w:id="0"/>
          <w:p>
            <w:pPr>
              <w:ind w:firstLine="560"/>
              <w:rPr>
                <w:rFonts w:hint="eastAsia" w:ascii="仿宋" w:hAnsi="仿宋" w:eastAsia="仿宋" w:cs="仿宋"/>
                <w:bCs/>
                <w:szCs w:val="21"/>
              </w:rPr>
            </w:pPr>
            <w:bookmarkStart w:id="5" w:name="_Hlk168409911"/>
            <w:r>
              <w:rPr>
                <w:rFonts w:hint="eastAsia" w:ascii="仿宋" w:hAnsi="仿宋" w:eastAsia="仿宋" w:cs="仿宋"/>
                <w:bCs/>
                <w:szCs w:val="21"/>
              </w:rPr>
              <w:t>由于现水泥市场整体环境较为低迷，导致产业链下游水泥厂企业对矿山开采的水泥原料灰岩的各项指标把控进一步提高，从而导致矿区范围内嘉陵江组一段的水泥原料灰岩需求急剧降低。而原设计将矿区划分为三个采区分三期进行开采，导致企业无法根据市场需求及时调整嘉陵江组一段和飞仙关组三段灰岩的开采搭配比，以适应水泥厂需求。故原设计已不能满足现阶段企业的实际需求。为此，企业拟调整开采范围，将矿区可利用资源全部划分为一个采区分一期进行开采。</w:t>
            </w:r>
            <w:bookmarkEnd w:id="5"/>
            <w:r>
              <w:rPr>
                <w:rFonts w:hint="eastAsia" w:ascii="仿宋" w:hAnsi="仿宋" w:eastAsia="仿宋" w:cs="仿宋"/>
                <w:bCs/>
                <w:szCs w:val="21"/>
              </w:rPr>
              <w:t>同时，将拟建生产线的场址进行优化调整，并增设一座排土场，以减少企业运输成本。</w:t>
            </w:r>
            <w:bookmarkEnd w:id="1"/>
            <w:bookmarkEnd w:id="2"/>
            <w:bookmarkEnd w:id="3"/>
            <w:bookmarkEnd w:id="4"/>
            <w:r>
              <w:rPr>
                <w:rFonts w:hint="eastAsia" w:ascii="仿宋" w:hAnsi="仿宋" w:eastAsia="仿宋" w:cs="仿宋"/>
                <w:bCs/>
                <w:szCs w:val="21"/>
              </w:rPr>
              <w:t>根据《国家矿山安全监察局关于印发〈非煤矿山建设项目安全设施重大变更范围〉的通知》及《重庆市应急管理局关于〈加强金属非金属矿山安全生产行政许可工作〉的通知》，企业应当委托设计单位编制建设项目安全设施设计并需经竣工验收。</w:t>
            </w:r>
          </w:p>
          <w:p>
            <w:pPr>
              <w:pStyle w:val="5"/>
            </w:pPr>
            <w:r>
              <w:drawing>
                <wp:inline distT="0" distB="0" distL="114300" distR="114300">
                  <wp:extent cx="3533775" cy="28956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33775" cy="2895600"/>
                          </a:xfrm>
                          <a:prstGeom prst="rect">
                            <a:avLst/>
                          </a:prstGeom>
                          <a:noFill/>
                          <a:ln>
                            <a:noFill/>
                          </a:ln>
                        </pic:spPr>
                      </pic:pic>
                    </a:graphicData>
                  </a:graphic>
                </wp:inline>
              </w:drawing>
            </w:r>
          </w:p>
          <w:p>
            <w:pPr>
              <w:pStyle w:val="3"/>
            </w:pP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4"/>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2025年5月19日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2025年5月19日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6" w:name="_GoBack"/>
      <w:bookmarkEnd w:id="6"/>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D031CA"/>
    <w:rsid w:val="5BD03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hAnsi="Courier New" w:cs="Courier New"/>
      <w:sz w:val="21"/>
      <w:szCs w:val="21"/>
    </w:rPr>
  </w:style>
  <w:style w:type="paragraph" w:styleId="3">
    <w:name w:val="Normal Indent"/>
    <w:basedOn w:val="1"/>
    <w:qFormat/>
    <w:uiPriority w:val="0"/>
    <w:pPr>
      <w:spacing w:line="240" w:lineRule="atLeast"/>
      <w:ind w:firstLine="420"/>
    </w:pPr>
    <w:rPr>
      <w:rFonts w:ascii="宋体"/>
    </w:rPr>
  </w:style>
  <w:style w:type="paragraph" w:styleId="4">
    <w:name w:val="Body Text"/>
    <w:basedOn w:val="1"/>
    <w:qFormat/>
    <w:uiPriority w:val="1"/>
    <w:pPr>
      <w:spacing w:before="154"/>
      <w:ind w:left="100"/>
      <w:jc w:val="left"/>
    </w:pPr>
    <w:rPr>
      <w:rFonts w:ascii="仿宋" w:hAnsi="仿宋" w:eastAsia="仿宋"/>
      <w:kern w:val="0"/>
      <w:sz w:val="28"/>
      <w:szCs w:val="28"/>
      <w:lang w:eastAsia="en-US"/>
    </w:rPr>
  </w:style>
  <w:style w:type="paragraph" w:styleId="5">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2025-09-19T06:10:00Z</dcterms:created>
  <dc:creator>雷楠</dc:creator>
  <cp:lastModifiedBy>雷楠</cp:lastModifiedBy>
  <dcterms:modified xsi:type="dcterms:W3CDTF">2025-09-19T06:10:27Z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