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 w:val="21"/>
                <w:szCs w:val="21"/>
                <w:lang w:val="en-US" w:eastAsia="zh-CN" w:bidi="ar-SA"/>
              </w:rPr>
              <w:t>重庆城鑫矿业有限公司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 w:val="21"/>
                <w:szCs w:val="21"/>
                <w:lang w:val="en-US" w:eastAsia="zh-CN" w:bidi="ar-SA"/>
              </w:rPr>
              <w:t>重庆城鑫矿业有限公司黔江区黑溪镇光明村二组泰峰铸型用砂岩矿安全预评价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杨  平</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2025.6</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唐元杰</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郑远平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杨  平</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1200000000200314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55090076342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sz w:val="21"/>
                <w:szCs w:val="21"/>
                <w:lang w:val="en-US" w:eastAsia="zh-CN"/>
              </w:rPr>
            </w:pPr>
            <w:r>
              <w:rPr>
                <w:rFonts w:hint="eastAsia" w:ascii="仿宋" w:hAnsi="仿宋" w:eastAsia="仿宋" w:cs="仿宋"/>
                <w:color w:val="000000"/>
                <w:szCs w:val="21"/>
                <w:lang w:val="en-US" w:eastAsia="zh-CN"/>
              </w:rPr>
              <w:t>李治友</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孟萌萌</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闫云光</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Arial" w:hAnsi="Arial" w:eastAsia="宋体" w:cs="Arial"/>
                <w:color w:val="000000"/>
                <w:spacing w:val="-14"/>
                <w:kern w:val="0"/>
                <w:sz w:val="21"/>
                <w:szCs w:val="21"/>
                <w:lang w:val="en-US" w:eastAsia="zh-CN" w:bidi="ar-SA"/>
              </w:rPr>
            </w:pPr>
            <w:r>
              <w:rPr>
                <w:rFonts w:hint="default" w:ascii="仿宋" w:hAnsi="仿宋" w:eastAsia="仿宋" w:cs="仿宋"/>
                <w:color w:val="000000"/>
                <w:szCs w:val="21"/>
                <w:lang w:val="en-US" w:eastAsia="zh-CN"/>
              </w:rPr>
              <w:t>孙文豪</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default" w:ascii="仿宋" w:hAnsi="仿宋" w:eastAsia="仿宋" w:cs="仿宋"/>
                <w:color w:val="000000"/>
                <w:szCs w:val="21"/>
                <w:lang w:val="en-US" w:eastAsia="zh-CN"/>
              </w:rPr>
              <w:t>欧  建</w:t>
            </w:r>
          </w:p>
        </w:tc>
        <w:tc>
          <w:tcPr>
            <w:tcW w:w="2174"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cs="Arial"/>
                <w:color w:val="000000"/>
                <w:szCs w:val="21"/>
                <w:lang w:val="en-US" w:eastAsia="zh-CN"/>
              </w:rPr>
            </w:pPr>
            <w:r>
              <w:rPr>
                <w:rFonts w:hint="eastAsia" w:ascii="仿宋" w:hAnsi="仿宋" w:eastAsia="仿宋" w:cs="仿宋"/>
                <w:color w:val="000000"/>
                <w:szCs w:val="21"/>
                <w:lang w:val="en-US" w:eastAsia="zh-CN"/>
              </w:rPr>
              <w:t>冯  皓</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ascii="Arial" w:hAnsi="Arial"/>
                <w:lang w:val="zh-CN"/>
              </w:rPr>
            </w:pPr>
            <w:r>
              <w:rPr>
                <w:rFonts w:hint="eastAsia" w:ascii="Arial" w:hAnsi="Arial"/>
                <w:lang w:val="zh-CN" w:eastAsia="zh-CN"/>
              </w:rPr>
              <w:t>重庆城鑫矿业有限公司</w:t>
            </w:r>
            <w:r>
              <w:rPr>
                <w:rFonts w:hint="eastAsia" w:ascii="Arial" w:hAnsi="Arial"/>
                <w:lang w:val="zh-CN"/>
              </w:rPr>
              <w:t>成立于20</w:t>
            </w:r>
            <w:r>
              <w:rPr>
                <w:rFonts w:hint="eastAsia" w:ascii="Arial" w:hAnsi="Arial"/>
                <w:lang w:val="zh-CN" w:eastAsia="zh-CN"/>
              </w:rPr>
              <w:t>23</w:t>
            </w:r>
            <w:r>
              <w:rPr>
                <w:rFonts w:hint="eastAsia" w:ascii="Arial" w:hAnsi="Arial"/>
                <w:lang w:val="zh-CN"/>
              </w:rPr>
              <w:t>年</w:t>
            </w:r>
            <w:r>
              <w:rPr>
                <w:rFonts w:hint="eastAsia" w:ascii="Arial" w:hAnsi="Arial"/>
                <w:lang w:val="zh-CN" w:eastAsia="zh-CN"/>
              </w:rPr>
              <w:t>10</w:t>
            </w:r>
            <w:r>
              <w:rPr>
                <w:rFonts w:hint="eastAsia" w:ascii="Arial" w:hAnsi="Arial"/>
                <w:lang w:val="zh-CN"/>
              </w:rPr>
              <w:t>月</w:t>
            </w:r>
            <w:r>
              <w:rPr>
                <w:rFonts w:hint="eastAsia" w:ascii="Arial" w:hAnsi="Arial"/>
                <w:lang w:val="zh-CN" w:eastAsia="zh-CN"/>
              </w:rPr>
              <w:t>16</w:t>
            </w:r>
            <w:r>
              <w:rPr>
                <w:rFonts w:hint="eastAsia" w:ascii="Arial" w:hAnsi="Arial"/>
                <w:lang w:val="zh-CN"/>
              </w:rPr>
              <w:t>日，</w:t>
            </w:r>
            <w:r>
              <w:rPr>
                <w:rFonts w:hint="eastAsia" w:ascii="Arial" w:hAnsi="Arial"/>
                <w:lang w:val="zh-CN" w:eastAsia="zh-CN"/>
              </w:rPr>
              <w:t>统一社会信用代码：91500114MACYRGJ95J</w:t>
            </w:r>
            <w:r>
              <w:rPr>
                <w:rFonts w:hint="eastAsia" w:ascii="Arial" w:hAnsi="Arial"/>
                <w:lang w:val="zh-CN"/>
              </w:rPr>
              <w:t>，位于</w:t>
            </w:r>
            <w:r>
              <w:rPr>
                <w:rFonts w:hint="eastAsia" w:ascii="Arial" w:hAnsi="Arial"/>
                <w:lang w:val="zh-CN" w:eastAsia="zh-CN"/>
              </w:rPr>
              <w:t>重庆市黔江区黑溪镇光明村2组。</w:t>
            </w:r>
            <w:r>
              <w:rPr>
                <w:rFonts w:hint="eastAsia" w:ascii="Arial" w:hAnsi="Arial"/>
                <w:lang w:val="zh-CN"/>
              </w:rPr>
              <w:t>经济类型</w:t>
            </w:r>
            <w:r>
              <w:rPr>
                <w:rFonts w:hint="eastAsia" w:ascii="Arial" w:hAnsi="Arial"/>
                <w:lang w:val="zh-CN" w:eastAsia="zh-CN"/>
              </w:rPr>
              <w:t>：有限责任公司。</w:t>
            </w:r>
            <w:r>
              <w:rPr>
                <w:rFonts w:hint="eastAsia" w:ascii="Arial" w:hAnsi="Arial"/>
                <w:lang w:val="zh-CN"/>
              </w:rPr>
              <w:t>企业法人代表</w:t>
            </w:r>
            <w:r>
              <w:rPr>
                <w:rFonts w:hint="eastAsia" w:ascii="Arial" w:hAnsi="Arial"/>
                <w:lang w:val="zh-CN" w:eastAsia="zh-CN"/>
              </w:rPr>
              <w:t>：彭凯。</w:t>
            </w:r>
            <w:r>
              <w:rPr>
                <w:rFonts w:hint="eastAsia" w:ascii="Arial" w:hAnsi="Arial"/>
                <w:lang w:val="zh-CN"/>
              </w:rPr>
              <w:t>经营范围：</w:t>
            </w:r>
            <w:r>
              <w:rPr>
                <w:rFonts w:hint="eastAsia" w:ascii="Arial" w:hAnsi="Arial"/>
                <w:lang w:val="zh-CN" w:eastAsia="zh-CN"/>
              </w:rPr>
              <w:t>非煤矿山矿产资源开采、非金属矿及制品销售、选矿</w:t>
            </w:r>
            <w:r>
              <w:rPr>
                <w:rFonts w:hint="eastAsia" w:ascii="Arial" w:hAnsi="Arial"/>
                <w:lang w:val="zh-CN"/>
              </w:rPr>
              <w:t>。</w:t>
            </w:r>
          </w:p>
          <w:p>
            <w:pPr>
              <w:adjustRightInd w:val="0"/>
              <w:snapToGrid w:val="0"/>
              <w:spacing w:line="360" w:lineRule="auto"/>
              <w:ind w:firstLine="420" w:firstLineChars="200"/>
              <w:rPr>
                <w:rFonts w:hint="eastAsia"/>
              </w:rPr>
            </w:pPr>
            <w:r>
              <w:rPr>
                <w:rFonts w:hint="eastAsia" w:ascii="Arial" w:hAnsi="Arial"/>
                <w:lang w:val="zh-CN" w:eastAsia="zh-CN"/>
              </w:rPr>
              <w:t>重庆城鑫矿业有限公司</w:t>
            </w:r>
            <w:r>
              <w:rPr>
                <w:rFonts w:hint="eastAsia" w:ascii="Arial" w:hAnsi="Arial"/>
                <w:lang w:val="zh-CN"/>
              </w:rPr>
              <w:t>于</w:t>
            </w:r>
            <w:r>
              <w:rPr>
                <w:rFonts w:hint="eastAsia" w:ascii="Arial" w:hAnsi="Arial"/>
                <w:lang w:val="zh-CN" w:eastAsia="zh-CN"/>
              </w:rPr>
              <w:t>2025年1月24日在重庆市黔江区规划和自然资源局签订采矿权出让合同，合同编号：C5001142025001，以公开挂牌出让方式取得黔江区黑溪镇光明村二组泰峰铸型用砂岩矿采矿权</w:t>
            </w:r>
            <w:r>
              <w:rPr>
                <w:rFonts w:hint="eastAsia"/>
              </w:rPr>
              <w:t>。</w:t>
            </w:r>
          </w:p>
          <w:p>
            <w:pPr>
              <w:pStyle w:val="3"/>
              <w:rPr>
                <w:rFonts w:hint="eastAsia"/>
              </w:rPr>
            </w:pPr>
            <w:r>
              <w:rPr>
                <w:rFonts w:hint="eastAsia" w:ascii="宋体" w:hAnsi="宋体"/>
                <w:b/>
                <w:bCs/>
                <w:color w:val="000000"/>
                <w:sz w:val="28"/>
                <w:szCs w:val="28"/>
                <w:lang w:eastAsia="zh-CN"/>
              </w:rPr>
              <w:t>现场勘察照片：</w:t>
            </w:r>
            <w:r>
              <w:drawing>
                <wp:inline distT="0" distB="0" distL="114300" distR="114300">
                  <wp:extent cx="3938905" cy="3144520"/>
                  <wp:effectExtent l="0" t="0" r="444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38905" cy="3144520"/>
                          </a:xfrm>
                          <a:prstGeom prst="rect">
                            <a:avLst/>
                          </a:prstGeom>
                          <a:noFill/>
                          <a:ln>
                            <a:noFill/>
                          </a:ln>
                        </pic:spPr>
                      </pic:pic>
                    </a:graphicData>
                  </a:graphic>
                </wp:inline>
              </w:drawing>
            </w:r>
          </w:p>
          <w:p>
            <w:pPr>
              <w:pStyle w:val="4"/>
              <w:ind w:left="0" w:leftChars="0" w:firstLine="0" w:firstLineChars="0"/>
              <w:rPr>
                <w:rFonts w:hint="eastAsia" w:ascii="仿宋" w:hAnsi="仿宋" w:eastAsia="仿宋" w:cs="仿宋"/>
                <w:color w:val="auto"/>
                <w:kern w:val="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2"/>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val="en-US" w:eastAsia="zh-CN"/>
              </w:rPr>
              <w:t>杨  平</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pPr>
        <w:spacing w:line="520" w:lineRule="exact"/>
        <w:rPr>
          <w:rFonts w:ascii="宋体" w:hAnsi="宋体"/>
          <w:color w:val="000000"/>
          <w:sz w:val="24"/>
          <w:szCs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54838"/>
    <w:rsid w:val="0CA54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footer"/>
    <w:basedOn w:val="1"/>
    <w:next w:val="4"/>
    <w:qFormat/>
    <w:uiPriority w:val="0"/>
    <w:pPr>
      <w:tabs>
        <w:tab w:val="center" w:pos="4153"/>
        <w:tab w:val="right" w:pos="8306"/>
      </w:tabs>
      <w:snapToGrid w:val="0"/>
      <w:jc w:val="left"/>
    </w:pPr>
    <w:rPr>
      <w:sz w:val="18"/>
    </w:rPr>
  </w:style>
  <w:style w:type="paragraph" w:customStyle="1" w:styleId="4">
    <w:name w:val="报告正文"/>
    <w:basedOn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5">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2025-09-01T02:15:00Z</dcterms:created>
  <dc:creator>雷楠</dc:creator>
  <cp:lastModifiedBy>雷楠</cp:lastModifiedBy>
  <dcterms:modified xsi:type="dcterms:W3CDTF">2025-09-01T02:16:09Z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