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593"/>
        <w:gridCol w:w="904"/>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5"/>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重庆万州西南水泥有限公司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3"/>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重庆万州西南水泥有限公司盐井周家堡矿山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4"/>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李治友</w:t>
            </w:r>
          </w:p>
        </w:tc>
        <w:tc>
          <w:tcPr>
            <w:tcW w:w="2073"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2025年8月</w:t>
            </w:r>
          </w:p>
        </w:tc>
        <w:tc>
          <w:tcPr>
            <w:tcW w:w="2169"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陈兴勇</w:t>
            </w:r>
          </w:p>
        </w:tc>
        <w:tc>
          <w:tcPr>
            <w:tcW w:w="2156"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方正仿宋_GBK" w:hAnsi="方正仿宋_GBK" w:eastAsia="方正仿宋_GBK" w:cs="方正仿宋_GBK"/>
                <w:b/>
                <w:szCs w:val="21"/>
              </w:rPr>
              <w:t>姓  名</w:t>
            </w:r>
          </w:p>
        </w:tc>
        <w:tc>
          <w:tcPr>
            <w:tcW w:w="1270" w:type="dxa"/>
            <w:gridSpan w:val="2"/>
            <w:vAlign w:val="center"/>
          </w:tcPr>
          <w:p>
            <w:pPr>
              <w:spacing w:line="300" w:lineRule="exact"/>
              <w:jc w:val="center"/>
              <w:rPr>
                <w:rFonts w:hint="eastAsia" w:ascii="仿宋" w:hAnsi="仿宋" w:eastAsia="仿宋" w:cs="仿宋"/>
                <w:b/>
                <w:color w:val="000000"/>
                <w:szCs w:val="21"/>
              </w:rPr>
            </w:pPr>
            <w:r>
              <w:rPr>
                <w:rFonts w:hint="eastAsia" w:ascii="方正仿宋_GBK" w:hAnsi="方正仿宋_GBK" w:eastAsia="方正仿宋_GBK" w:cs="方正仿宋_GBK"/>
                <w:b/>
                <w:szCs w:val="21"/>
              </w:rPr>
              <w:t>认定专业</w:t>
            </w:r>
          </w:p>
        </w:tc>
        <w:tc>
          <w:tcPr>
            <w:tcW w:w="2977" w:type="dxa"/>
            <w:gridSpan w:val="5"/>
            <w:vAlign w:val="center"/>
          </w:tcPr>
          <w:p>
            <w:pPr>
              <w:spacing w:line="300" w:lineRule="exact"/>
              <w:jc w:val="center"/>
              <w:rPr>
                <w:rFonts w:hint="eastAsia" w:ascii="仿宋" w:hAnsi="仿宋" w:eastAsia="仿宋" w:cs="仿宋"/>
                <w:b/>
                <w:szCs w:val="21"/>
              </w:rPr>
            </w:pPr>
            <w:r>
              <w:rPr>
                <w:rFonts w:hint="eastAsia" w:ascii="方正仿宋_GBK" w:hAnsi="方正仿宋_GBK" w:eastAsia="方正仿宋_GBK" w:cs="方正仿宋_GBK"/>
                <w:b/>
                <w:szCs w:val="21"/>
              </w:rPr>
              <w:t>安全评价师职业资格证书编号</w:t>
            </w:r>
          </w:p>
        </w:tc>
        <w:tc>
          <w:tcPr>
            <w:tcW w:w="2662" w:type="dxa"/>
            <w:gridSpan w:val="5"/>
            <w:vAlign w:val="center"/>
          </w:tcPr>
          <w:p>
            <w:pPr>
              <w:spacing w:line="300" w:lineRule="exact"/>
              <w:jc w:val="center"/>
              <w:rPr>
                <w:rFonts w:hint="eastAsia" w:ascii="仿宋" w:hAnsi="仿宋" w:eastAsia="仿宋" w:cs="仿宋"/>
                <w:b/>
                <w:szCs w:val="21"/>
              </w:rPr>
            </w:pPr>
            <w:r>
              <w:rPr>
                <w:rFonts w:hint="eastAsia" w:ascii="方正仿宋_GBK" w:hAnsi="方正仿宋_GBK" w:eastAsia="方正仿宋_GBK" w:cs="方正仿宋_GBK"/>
                <w:b/>
                <w:szCs w:val="21"/>
              </w:rPr>
              <w:t>注册安全工程师执业证号</w:t>
            </w:r>
          </w:p>
        </w:tc>
        <w:tc>
          <w:tcPr>
            <w:tcW w:w="1663" w:type="dxa"/>
            <w:vAlign w:val="center"/>
          </w:tcPr>
          <w:p>
            <w:pPr>
              <w:spacing w:line="300" w:lineRule="exact"/>
              <w:jc w:val="center"/>
              <w:rPr>
                <w:rFonts w:hint="eastAsia" w:ascii="仿宋" w:hAnsi="仿宋" w:eastAsia="仿宋" w:cs="仿宋"/>
                <w:b/>
                <w:color w:val="000000"/>
                <w:szCs w:val="21"/>
              </w:rPr>
            </w:pPr>
            <w:r>
              <w:rPr>
                <w:rFonts w:hint="eastAsia" w:ascii="方正仿宋_GBK" w:hAnsi="方正仿宋_GBK" w:eastAsia="方正仿宋_GBK" w:cs="方正仿宋_GBK"/>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1600000000201297</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李治友</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1600000000301658</w:t>
            </w:r>
          </w:p>
        </w:tc>
        <w:tc>
          <w:tcPr>
            <w:tcW w:w="2662" w:type="dxa"/>
            <w:gridSpan w:val="5"/>
            <w:vAlign w:val="center"/>
          </w:tcPr>
          <w:p>
            <w:pPr>
              <w:jc w:val="center"/>
              <w:rPr>
                <w:rFonts w:hint="eastAsia" w:ascii="仿宋" w:hAnsi="仿宋" w:eastAsia="仿宋" w:cs="仿宋"/>
                <w:color w:val="000000"/>
                <w:szCs w:val="21"/>
              </w:rPr>
            </w:pP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孟萌萌</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1100000000301652</w:t>
            </w:r>
          </w:p>
        </w:tc>
        <w:tc>
          <w:tcPr>
            <w:tcW w:w="2662" w:type="dxa"/>
            <w:gridSpan w:val="5"/>
            <w:vAlign w:val="center"/>
          </w:tcPr>
          <w:p>
            <w:pPr>
              <w:jc w:val="center"/>
              <w:rPr>
                <w:rFonts w:hint="eastAsia" w:ascii="仿宋" w:hAnsi="仿宋" w:eastAsia="仿宋" w:cs="仿宋"/>
                <w:color w:val="000000"/>
                <w:szCs w:val="21"/>
              </w:rPr>
            </w:pP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1800000000301246</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55190219580</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张郑平</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977" w:type="dxa"/>
            <w:gridSpan w:val="5"/>
            <w:vAlign w:val="center"/>
          </w:tcPr>
          <w:p>
            <w:pPr>
              <w:jc w:val="center"/>
              <w:rPr>
                <w:rFonts w:hint="eastAsia" w:ascii="仿宋" w:hAnsi="仿宋" w:eastAsia="仿宋" w:cs="仿宋"/>
                <w:color w:val="000000"/>
                <w:szCs w:val="21"/>
              </w:rPr>
            </w:pP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55220291726</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977" w:type="dxa"/>
            <w:gridSpan w:val="5"/>
            <w:vAlign w:val="center"/>
          </w:tcPr>
          <w:p>
            <w:pPr>
              <w:jc w:val="center"/>
              <w:rPr>
                <w:rFonts w:hint="eastAsia" w:ascii="仿宋" w:hAnsi="仿宋" w:eastAsia="仿宋" w:cs="仿宋"/>
                <w:color w:val="000000"/>
                <w:szCs w:val="21"/>
              </w:rPr>
            </w:pP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地质专业</w:t>
            </w:r>
          </w:p>
        </w:tc>
        <w:tc>
          <w:tcPr>
            <w:tcW w:w="2977" w:type="dxa"/>
            <w:gridSpan w:val="5"/>
            <w:vAlign w:val="center"/>
          </w:tcPr>
          <w:p>
            <w:pPr>
              <w:jc w:val="center"/>
              <w:rPr>
                <w:rFonts w:cs="仿宋"/>
                <w:color w:val="000000"/>
                <w:szCs w:val="21"/>
              </w:rPr>
            </w:pPr>
            <w:r>
              <w:rPr>
                <w:rFonts w:hint="eastAsia" w:cs="仿宋"/>
                <w:color w:val="000000"/>
                <w:szCs w:val="21"/>
              </w:rPr>
              <w:t>1800000000301234</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杨</w:t>
            </w:r>
            <w:r>
              <w:rPr>
                <w:rFonts w:ascii="仿宋" w:hAnsi="仿宋" w:eastAsia="仿宋" w:cs="仿宋"/>
                <w:color w:val="000000"/>
                <w:szCs w:val="21"/>
              </w:rPr>
              <w:t xml:space="preserve">  </w:t>
            </w:r>
            <w:r>
              <w:rPr>
                <w:rFonts w:hint="eastAsia" w:ascii="仿宋" w:hAnsi="仿宋" w:eastAsia="仿宋" w:cs="仿宋"/>
                <w:color w:val="000000"/>
                <w:szCs w:val="21"/>
              </w:rPr>
              <w:t>平</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安全专业</w:t>
            </w:r>
          </w:p>
        </w:tc>
        <w:tc>
          <w:tcPr>
            <w:tcW w:w="2977" w:type="dxa"/>
            <w:gridSpan w:val="5"/>
            <w:vAlign w:val="center"/>
          </w:tcPr>
          <w:p>
            <w:pPr>
              <w:jc w:val="center"/>
              <w:rPr>
                <w:rFonts w:cs="仿宋"/>
                <w:color w:val="000000"/>
                <w:szCs w:val="21"/>
              </w:rPr>
            </w:pPr>
            <w:r>
              <w:rPr>
                <w:rFonts w:cs="仿宋"/>
                <w:color w:val="000000"/>
                <w:szCs w:val="21"/>
              </w:rPr>
              <w:t>1200000000200314</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55090076342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采矿专业</w:t>
            </w:r>
          </w:p>
        </w:tc>
        <w:tc>
          <w:tcPr>
            <w:tcW w:w="2977" w:type="dxa"/>
            <w:gridSpan w:val="5"/>
            <w:vAlign w:val="center"/>
          </w:tcPr>
          <w:p>
            <w:pPr>
              <w:jc w:val="center"/>
              <w:rPr>
                <w:rFonts w:cs="仿宋"/>
                <w:color w:val="000000"/>
                <w:szCs w:val="21"/>
              </w:rPr>
            </w:pPr>
            <w:r>
              <w:rPr>
                <w:rFonts w:cs="仿宋"/>
                <w:color w:val="000000"/>
                <w:szCs w:val="21"/>
              </w:rPr>
              <w:t>0800000000103084</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55070030029</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w:t>
            </w:r>
            <w:r>
              <w:rPr>
                <w:rFonts w:ascii="仿宋" w:hAnsi="仿宋" w:eastAsia="仿宋" w:cs="仿宋"/>
                <w:color w:val="000000"/>
                <w:szCs w:val="21"/>
              </w:rPr>
              <w:t xml:space="preserve">  </w:t>
            </w:r>
            <w:r>
              <w:rPr>
                <w:rFonts w:hint="eastAsia" w:ascii="仿宋" w:hAnsi="仿宋" w:eastAsia="仿宋" w:cs="仿宋"/>
                <w:color w:val="000000"/>
                <w:szCs w:val="21"/>
              </w:rPr>
              <w:t>皓</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机械专业</w:t>
            </w:r>
          </w:p>
        </w:tc>
        <w:tc>
          <w:tcPr>
            <w:tcW w:w="2977" w:type="dxa"/>
            <w:gridSpan w:val="5"/>
            <w:vAlign w:val="center"/>
          </w:tcPr>
          <w:p>
            <w:pPr>
              <w:jc w:val="center"/>
              <w:rPr>
                <w:rFonts w:cs="仿宋"/>
                <w:color w:val="000000"/>
                <w:szCs w:val="21"/>
              </w:rPr>
            </w:pPr>
            <w:r>
              <w:rPr>
                <w:rFonts w:cs="仿宋"/>
                <w:color w:val="000000"/>
                <w:szCs w:val="21"/>
              </w:rPr>
              <w:t>1600000000201291</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55130140330</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vAlign w:val="center"/>
          </w:tcPr>
          <w:p>
            <w:pPr>
              <w:adjustRightInd w:val="0"/>
              <w:snapToGrid w:val="0"/>
              <w:spacing w:line="260" w:lineRule="exact"/>
              <w:ind w:firstLine="420" w:firstLineChars="200"/>
              <w:rPr>
                <w:rFonts w:hint="eastAsia" w:ascii="仿宋" w:hAnsi="仿宋" w:eastAsia="仿宋" w:cs="仿宋"/>
                <w:szCs w:val="21"/>
              </w:rPr>
            </w:pPr>
            <w:r>
              <w:rPr>
                <w:rFonts w:hint="eastAsia" w:ascii="仿宋" w:hAnsi="仿宋" w:eastAsia="仿宋" w:cs="仿宋"/>
                <w:szCs w:val="21"/>
              </w:rPr>
              <w:t>重庆万州西南水泥有限公司成立日期为2003年8月14日，统一社会信用代码：9150010175305904XT，法人代表为黄青松，经济类型为有限责任公司，公司位于重庆市万州区百安坝街道三洲村。经营范围为水泥、熟料的生产、销售；水泥用石灰岩开采（仅限于盐井周家堡矿山）；销售商品混凝土等。</w:t>
            </w:r>
          </w:p>
          <w:p>
            <w:pPr>
              <w:adjustRightInd w:val="0"/>
              <w:snapToGrid w:val="0"/>
              <w:spacing w:line="260" w:lineRule="exact"/>
              <w:ind w:firstLine="420" w:firstLineChars="200"/>
              <w:rPr>
                <w:rFonts w:hint="eastAsia" w:ascii="仿宋" w:hAnsi="仿宋" w:eastAsia="仿宋" w:cs="仿宋"/>
                <w:szCs w:val="21"/>
              </w:rPr>
            </w:pPr>
            <w:r>
              <w:rPr>
                <w:rFonts w:hint="eastAsia" w:ascii="仿宋" w:hAnsi="仿宋" w:eastAsia="仿宋" w:cs="仿宋"/>
                <w:szCs w:val="21"/>
              </w:rPr>
              <w:t>重庆万州西南水泥有限公司盐井周家堡矿山，位于重庆市万州区百安坝街道三洲村，采矿许可证号C5001012010107120077621，有效期自2021年6月30日至2030年12月30日，生产规模为300万吨/年，开采标高+1035m～+890m，矿区面积0.5588km</w:t>
            </w:r>
            <w:r>
              <w:rPr>
                <w:rFonts w:hint="eastAsia" w:ascii="仿宋" w:hAnsi="仿宋" w:eastAsia="仿宋" w:cs="仿宋"/>
                <w:szCs w:val="21"/>
                <w:vertAlign w:val="superscript"/>
              </w:rPr>
              <w:t>2</w:t>
            </w:r>
            <w:r>
              <w:rPr>
                <w:rFonts w:hint="eastAsia" w:ascii="仿宋" w:hAnsi="仿宋" w:eastAsia="仿宋" w:cs="仿宋"/>
                <w:szCs w:val="21"/>
              </w:rPr>
              <w:t>；安全生产许可证编号：（渝）FM安许证字〔2023〕万州延010153号，有效期2023年1月16日至2026年1月15日。</w:t>
            </w:r>
          </w:p>
          <w:p>
            <w:pPr>
              <w:overflowPunct w:val="0"/>
              <w:spacing w:line="276" w:lineRule="auto"/>
            </w:pPr>
            <w:r>
              <w:rPr>
                <w:rFonts w:hint="eastAsia" w:ascii="仿宋" w:hAnsi="仿宋" w:eastAsia="仿宋" w:cs="仿宋"/>
                <w:szCs w:val="21"/>
              </w:rPr>
              <w:t>根据《中华人民共和国安全生产法》、《中华人民共和国矿山安全法》、《非煤矿矿山企业安全生产许可证实施办法》和《重庆市应急管理局关于加强金属非金属矿山安全生产行政许可工作的通知》（渝应急发〔2024〕98号）等相关法律、法规的规定，非煤矿山安全生产许可证每三年进行换发，换发安全生产许可证的前提条件之一是对矿山安全生产条件进行安全现状评价。为此，重庆万州西南水泥有限公司委托重庆市安全生产科学研究有限公司对重庆万州西南水泥有限公司盐井周家堡矿山进行安全现状评价。</w:t>
            </w:r>
            <w:r>
              <w:rPr>
                <w:rFonts w:hint="eastAsia"/>
              </w:rPr>
              <w:t xml:space="preserve"> </w:t>
            </w:r>
          </w:p>
          <w:p>
            <w:pPr>
              <w:pStyle w:val="2"/>
              <w:ind w:firstLine="0"/>
              <w:jc w:val="center"/>
            </w:pPr>
            <w:r>
              <w:drawing>
                <wp:inline distT="0" distB="0" distL="114300" distR="114300">
                  <wp:extent cx="2038350" cy="27813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038350" cy="27813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陈兴勇 </w:t>
            </w:r>
          </w:p>
        </w:tc>
        <w:tc>
          <w:tcPr>
            <w:tcW w:w="2034" w:type="dxa"/>
            <w:gridSpan w:val="3"/>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2025年7月28日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3"/>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李治友</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2025年7月28日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B03F40"/>
    <w:rsid w:val="02B03F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2025-09-01T02:09:00Z</dcterms:created>
  <dc:creator>雷楠</dc:creator>
  <cp:lastModifiedBy>雷楠</cp:lastModifiedBy>
  <dcterms:modified xsi:type="dcterms:W3CDTF">2025-09-01T02:10:20Z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