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26"/>
        <w:gridCol w:w="623"/>
        <w:gridCol w:w="560"/>
        <w:gridCol w:w="601"/>
        <w:gridCol w:w="43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矽磐微电子（重庆）有限公司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  <w:t>矽磐微电子（重庆）有限公司重庆西永微电子工业园 C 栋 PEP项目安全验收评价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□预评价 □现状评价     </w:t>
            </w:r>
            <w:r>
              <w:rPr>
                <w:rFonts w:ascii="仿宋" w:hAnsi="仿宋" w:eastAsia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工贸（电子）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电气、自动化（仪表）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1700000000201153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  <w:lang w:eastAsia="zh-CN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  <w:lang w:eastAsia="zh-CN"/>
              </w:rPr>
              <w:t>安全、</w:t>
            </w: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  <w:t>S</w:t>
            </w: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  <w:lang w:val="en-US" w:eastAsia="zh-CN"/>
              </w:rPr>
              <w:t>011041000110192002238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冶金、化工机械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1500000000100116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租赁华润微电子（重庆）有限公司C栋厂房1、2层，1层设置原辅材料、成品暂存间及实验室、化学品供液间（暂存间），建筑面积约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5000㎡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，2层为电子洁净生产车间，建筑面积约为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000m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vertAlign w:val="superscript"/>
                <w:lang w:val="zh-CN" w:eastAsia="zh-CN" w:bidi="ar-SA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2）建设约3000m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vertAlign w:val="superscript"/>
                <w:lang w:val="zh-CN" w:eastAsia="zh-CN" w:bidi="ar-SA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配套废水处理站。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3）新建fan-out面板级封装测试先进工艺生产线1条。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4）购买晶圆研磨设备、晶圆切割设备、塑封体切割机、溅射机、布线机等生产设备和安装工艺管线等。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drawing>
                <wp:inline distT="0" distB="0" distL="114300" distR="114300">
                  <wp:extent cx="5297170" cy="5297170"/>
                  <wp:effectExtent l="0" t="0" r="17780" b="17780"/>
                  <wp:docPr id="1" name="图片 1" descr="微信图片_20200806093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08060938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529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、高胡容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8.3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zh-CN"/>
              </w:rPr>
              <w:t>污水处理站无洗眼器。酸液槽物质标识看不清、无体积标识。污水处理站控制室防火墙有孔洞。厂区部分地面未硬化。一、二层化学品供液间（暂存间）洗眼器设置位置不满足要求。企业未编制应急预案。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D6522"/>
    <w:rsid w:val="6AED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a正文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2020-12-07T07:43:00Z</dcterms:created>
  <dc:creator>Neuropathy.</dc:creator>
  <cp:lastModifiedBy>Neuropathy.</cp:lastModifiedBy>
  <dcterms:modified xsi:type="dcterms:W3CDTF">2020-12-07T07:43:45Z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