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"/>
        <w:gridCol w:w="1134"/>
        <w:gridCol w:w="14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中国石化销售股份有限公司海南分公司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  <w:lang w:eastAsia="zh-CN"/>
              </w:rPr>
              <w:t>中国石化销售股份有限公司海南保亭供气站储罐及管道改建工程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□预评价   </w:t>
            </w:r>
            <w:r>
              <w:rPr>
                <w:rFonts w:ascii="仿宋" w:hAnsi="仿宋" w:eastAsia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专项验收评价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机械、安全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1800000000201223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电气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1100000000301652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S011053000110192002987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采油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1700000000301842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fldChar w:fldCharType="begin"/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instrText xml:space="preserve"> HYPERLINK "http://cydj.5anquan.com/UILogin/BeforeUserInfoShow/?id=622&amp;state=0" \t "http://cydj.5anquan.com/UILogin/_blank" </w:instrTex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冯 皓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1600000000201291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火炸药、安全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0800000000102949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保亭供气站占地面积约3699.53m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，建筑面积约512.475m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t>，设置2座25m³埋地液化石油气储罐及1座5m³埋地液化石油气残液罐，是六级液化石油气供气站。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5257165" cy="2957195"/>
                  <wp:effectExtent l="0" t="0" r="635" b="14605"/>
                  <wp:docPr id="1" name="图片 1" descr="IMG_20200519_082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19_0825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165" cy="295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李伟、高胡容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1）灌瓶间充装台线破损。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2）瓶库有杂物。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3）值班室可燃气体泄漏报警装置未标识探头位置所对应的点。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354E3"/>
    <w:rsid w:val="2D23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ba正文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2020-12-24T08:03:00Z</dcterms:created>
  <dc:creator>Neuropathy.</dc:creator>
  <cp:lastModifiedBy>Neuropathy.</cp:lastModifiedBy>
  <dcterms:modified xsi:type="dcterms:W3CDTF">2020-12-24T08:03:47Z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