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Arial" w:hAnsi="宋体" w:cs="Arial"/>
                <w:color w:val="000000"/>
              </w:rPr>
            </w:pPr>
            <w:r>
              <w:rPr>
                <w:rFonts w:ascii="Arial" w:hAnsi="宋体" w:cs="Arial"/>
                <w:color w:val="000000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涪陵页岩气田白马区块焦页106号井组安全预评价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030718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>钻井工程采用单向单排单钻机布井模式，采用“导管+三开”井身结构，套管射孔完井。</w:t>
            </w:r>
            <w:r>
              <w:t>2口井平均水平段长1725m，平均进尺5475m，完井周期76d。</w:t>
            </w:r>
          </w:p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>压裂试气工程采用多簇密切割+极限限流+高强度加砂压裂工艺，减阻水+胶液混合压裂液体系。压裂单段段长100m,平均用液强度21方/m，加砂强度2.2吨/m。选用内径Φ50.7mm油管+气举阀作为生产管柱。</w:t>
            </w:r>
          </w:p>
          <w:p>
            <w:pPr>
              <w:adjustRightInd w:val="0"/>
              <w:snapToGrid w:val="0"/>
              <w:ind w:firstLine="420" w:firstLineChars="200"/>
            </w:pPr>
            <w:r>
              <w:rPr>
                <w:rFonts w:hint="eastAsia"/>
              </w:rPr>
              <w:t>地面工程充分依托白马区块已建地面集输系统，扩建平台1个，新建采气井口2个，新增两相流量计1台、DN800计量分离器1台、焦页106号集气站至焦页147号集气站集气管线3.3公里，同沟敷设采出水管线和48芯通信光缆，井口地面安全截断阀及控制系统2套，配套完善自控、通信、供配电、消防、土建等系统工程。</w:t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20201006112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010061121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</w:pPr>
          </w:p>
          <w:p>
            <w:pPr>
              <w:adjustRightInd w:val="0"/>
              <w:snapToGrid w:val="0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周边无</w:t>
            </w:r>
            <w:r>
              <w:rPr>
                <w:rFonts w:ascii="仿宋" w:hAnsi="仿宋" w:eastAsia="仿宋"/>
                <w:szCs w:val="21"/>
              </w:rPr>
              <w:t>周边无危险性生产企业，而且与其他已建工程防火间距符合要求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预评价为建设，暂无问题。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24F93"/>
    <w:rsid w:val="3612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2020-12-29T07:59:00Z</dcterms:created>
  <dc:creator>Neuropathy.</dc:creator>
  <cp:lastModifiedBy>Neuropathy.</cp:lastModifiedBy>
  <dcterms:modified xsi:type="dcterms:W3CDTF">2020-12-29T07:59:39Z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