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沿河土家族自治县后坪乡石界采石厂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lang w:eastAsia="zh-CN"/>
              </w:rPr>
            </w:pPr>
            <w:r>
              <w:rPr>
                <w:rFonts w:hint="eastAsia" w:ascii="宋体" w:hAnsi="宋体" w:eastAsia="宋体" w:cs="宋体"/>
                <w:i w:val="0"/>
                <w:iCs w:val="0"/>
                <w:kern w:val="2"/>
                <w:sz w:val="21"/>
                <w:szCs w:val="21"/>
                <w:highlight w:val="none"/>
                <w:lang w:val="en-US" w:eastAsia="zh-CN" w:bidi="ar-SA"/>
              </w:rPr>
              <w:t>贵州沿河矿达建材有限责任公司沿河土家族自治县后坪乡石界采石厂（延续）安全预评价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w:t>
            </w:r>
            <w:r>
              <w:rPr>
                <w:rFonts w:hint="eastAsia" w:ascii="仿宋" w:hAnsi="仿宋" w:eastAsia="仿宋"/>
                <w:szCs w:val="21"/>
                <w:lang w:val="en-US" w:eastAsia="zh-CN"/>
              </w:rPr>
              <w:t xml:space="preserve">  </w:t>
            </w:r>
            <w:r>
              <w:rPr>
                <w:rFonts w:hint="eastAsia" w:ascii="仿宋" w:hAnsi="仿宋" w:eastAsia="仿宋"/>
                <w:szCs w:val="21"/>
                <w:lang w:eastAsia="zh-CN"/>
              </w:rPr>
              <w:t>茂</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吴子科</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s="仿宋"/>
                <w:sz w:val="21"/>
                <w:szCs w:val="21"/>
                <w:lang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梁黔水</w:t>
            </w:r>
          </w:p>
        </w:tc>
        <w:tc>
          <w:tcPr>
            <w:tcW w:w="2073"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20</w:t>
            </w:r>
            <w:r>
              <w:rPr>
                <w:rFonts w:hint="eastAsia" w:ascii="仿宋" w:hAnsi="仿宋" w:eastAsia="仿宋"/>
                <w:szCs w:val="21"/>
                <w:lang w:val="en-US" w:eastAsia="zh-CN"/>
              </w:rPr>
              <w:t>20</w:t>
            </w:r>
            <w:r>
              <w:rPr>
                <w:rFonts w:hint="eastAsia" w:ascii="仿宋" w:hAnsi="仿宋" w:eastAsia="仿宋"/>
                <w:szCs w:val="21"/>
              </w:rPr>
              <w:t>/</w:t>
            </w:r>
            <w:r>
              <w:rPr>
                <w:rFonts w:hint="eastAsia" w:ascii="仿宋" w:hAnsi="仿宋" w:eastAsia="仿宋"/>
                <w:szCs w:val="21"/>
                <w:lang w:val="en-US" w:eastAsia="zh-CN"/>
              </w:rPr>
              <w:t>7</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cs="仿宋"/>
                <w:sz w:val="21"/>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cs="仿宋"/>
                <w:sz w:val="21"/>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徐　茂</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通风</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008344</w:t>
            </w:r>
          </w:p>
        </w:tc>
        <w:tc>
          <w:tcPr>
            <w:tcW w:w="2662"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孟萌萌</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电气</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019246</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梁黔水</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采矿工程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036225</w:t>
            </w:r>
          </w:p>
        </w:tc>
        <w:tc>
          <w:tcPr>
            <w:tcW w:w="2662" w:type="dxa"/>
            <w:gridSpan w:val="5"/>
            <w:noWrap w:val="0"/>
            <w:vAlign w:val="center"/>
          </w:tcPr>
          <w:p>
            <w:pPr>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欧中锴</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安全工程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031212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55200240813</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苏祖明</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地质</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002729</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蔡治勇</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火工/安全</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003832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55080052964</w:t>
            </w:r>
          </w:p>
        </w:tc>
        <w:tc>
          <w:tcPr>
            <w:tcW w:w="1663" w:type="dxa"/>
            <w:noWrap w:val="0"/>
            <w:vAlign w:val="center"/>
          </w:tcPr>
          <w:p>
            <w:pPr>
              <w:widowControl/>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冯  皓</w:t>
            </w:r>
          </w:p>
        </w:tc>
        <w:tc>
          <w:tcPr>
            <w:tcW w:w="1586" w:type="dxa"/>
            <w:gridSpan w:val="2"/>
            <w:noWrap w:val="0"/>
            <w:vAlign w:val="center"/>
          </w:tcPr>
          <w:p>
            <w:pPr>
              <w:widowControl/>
              <w:adjustRightInd w:val="0"/>
              <w:snapToGrid w:val="0"/>
              <w:jc w:val="center"/>
              <w:rPr>
                <w:rFonts w:hint="default" w:ascii="仿宋" w:hAnsi="仿宋" w:eastAsia="仿宋" w:cs="仿宋"/>
                <w:color w:val="000000" w:themeColor="text1"/>
                <w:kern w:val="0"/>
                <w:sz w:val="21"/>
                <w:szCs w:val="21"/>
                <w:lang w:val="en-US" w:eastAsia="zh-CN"/>
                <w14:textFill>
                  <w14:solidFill>
                    <w14:schemeClr w14:val="tx1"/>
                  </w14:solidFill>
                </w14:textFill>
              </w:rPr>
            </w:pPr>
            <w:r>
              <w:rPr>
                <w:rFonts w:hint="default" w:ascii="仿宋" w:hAnsi="仿宋" w:eastAsia="仿宋" w:cs="仿宋"/>
                <w:color w:val="000000" w:themeColor="text1"/>
                <w:kern w:val="0"/>
                <w:sz w:val="21"/>
                <w:szCs w:val="21"/>
                <w:lang w:val="en-US" w:eastAsia="zh-CN"/>
                <w14:textFill>
                  <w14:solidFill>
                    <w14:schemeClr w14:val="tx1"/>
                  </w14:solidFill>
                </w14:textFill>
              </w:rPr>
              <w:t>机械、化工机械</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019237</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Times New Roman"/>
                <w:color w:val="auto"/>
                <w:szCs w:val="22"/>
                <w:lang w:val="en-US" w:eastAsia="zh-CN"/>
              </w:rPr>
              <w:t>55130140330</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吴子科</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水工结构</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023846</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szCs w:val="21"/>
                <w:lang w:eastAsia="zh-CN"/>
              </w:rPr>
              <w:t>贵州沿河矿达建材有限责任公司沿河土家族自治县后坪乡石界采石厂属延续矿山，沿河县后坪乡石界采石厂于2015年6月24日取得由沿河土家族国土资源局颁发采矿许可证（证号：C5222282011107120119273），矿区面积：0.1062km2，开采标高：+975m～+822m，开采矿种：建筑石料用灰岩，生产规模：6万m³/a，有效期限为2015年6月24日至2020年6月24日。矿山对采矿权申请延续后于2020年7月16日取得沿河土家族自治县国土资源局颁发的采矿许可证（证号：C5222282020077130150283）。采矿权人：贵州沿河矿达建材有限责任公司；经济类型：有限责任公司；开采矿种：建筑石料用灰岩；生产规模：6.00万立方米/年；矿区面积：0.0251平方公里；开采深度：+980m～+926m；有效期限：2020年7月至2026年7月。矿区范围由5个拐点圈定。</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rPr>
            </w:pPr>
            <w:r>
              <w:rPr>
                <w:rFonts w:hint="eastAsia" w:ascii="仿宋" w:hAnsi="仿宋" w:eastAsia="仿宋" w:cs="宋体"/>
                <w:szCs w:val="21"/>
                <w:lang w:eastAsia="zh-CN"/>
              </w:rPr>
              <w:drawing>
                <wp:inline distT="0" distB="0" distL="114300" distR="114300">
                  <wp:extent cx="2967355" cy="3202940"/>
                  <wp:effectExtent l="0" t="0" r="0" b="4445"/>
                  <wp:docPr id="3" name="图片 3" descr="mmexport1586600807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mmexport1586600807376"/>
                          <pic:cNvPicPr>
                            <a:picLocks noChangeAspect="1"/>
                          </pic:cNvPicPr>
                        </pic:nvPicPr>
                        <pic:blipFill>
                          <a:blip r:embed="rId4"/>
                          <a:srcRect l="21887" t="-2212" r="7091"/>
                          <a:stretch>
                            <a:fillRect/>
                          </a:stretch>
                        </pic:blipFill>
                        <pic:spPr>
                          <a:xfrm rot="5400000">
                            <a:off x="0" y="0"/>
                            <a:ext cx="2967355" cy="3202940"/>
                          </a:xfrm>
                          <a:prstGeom prst="rect">
                            <a:avLst/>
                          </a:prstGeom>
                        </pic:spPr>
                      </pic:pic>
                    </a:graphicData>
                  </a:graphic>
                </wp:inline>
              </w:drawing>
            </w:r>
            <w:r>
              <w:rPr>
                <w:rFonts w:hint="eastAsia" w:ascii="仿宋" w:hAnsi="仿宋" w:eastAsia="仿宋" w:cs="宋体"/>
                <w:szCs w:val="21"/>
                <w:lang w:eastAsia="zh-CN"/>
              </w:rPr>
              <w:drawing>
                <wp:inline distT="0" distB="0" distL="114300" distR="114300">
                  <wp:extent cx="3155315" cy="4036060"/>
                  <wp:effectExtent l="0" t="0" r="6985" b="2540"/>
                  <wp:docPr id="4" name="图片 4" descr="lADPDhJztz66bEvNAyDNAcI_450_800.jpg_720x720q9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ADPDhJztz66bEvNAyDNAcI_450_800.jpg_720x720q90g"/>
                          <pic:cNvPicPr>
                            <a:picLocks noChangeAspect="1"/>
                          </pic:cNvPicPr>
                        </pic:nvPicPr>
                        <pic:blipFill>
                          <a:blip r:embed="rId5"/>
                          <a:srcRect t="15000" r="8099" b="18880"/>
                          <a:stretch>
                            <a:fillRect/>
                          </a:stretch>
                        </pic:blipFill>
                        <pic:spPr>
                          <a:xfrm>
                            <a:off x="0" y="0"/>
                            <a:ext cx="3155315" cy="40360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徐</w:t>
            </w:r>
            <w:r>
              <w:rPr>
                <w:rFonts w:hint="eastAsia" w:ascii="仿宋" w:hAnsi="仿宋" w:eastAsia="仿宋"/>
                <w:szCs w:val="21"/>
                <w:lang w:val="en-US" w:eastAsia="zh-CN"/>
              </w:rPr>
              <w:t xml:space="preserve">  </w:t>
            </w:r>
            <w:r>
              <w:rPr>
                <w:rFonts w:hint="eastAsia" w:ascii="仿宋" w:hAnsi="仿宋" w:eastAsia="仿宋"/>
                <w:szCs w:val="21"/>
                <w:lang w:eastAsia="zh-CN"/>
              </w:rPr>
              <w:t>茂</w:t>
            </w:r>
          </w:p>
        </w:tc>
        <w:tc>
          <w:tcPr>
            <w:tcW w:w="2622" w:type="dxa"/>
            <w:gridSpan w:val="4"/>
            <w:noWrap w:val="0"/>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2020.07.15</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详见现场勘察记录表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梁黔水</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2020.07.15</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CC5A05"/>
    <w:rsid w:val="34CC5A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段落"/>
    <w:qFormat/>
    <w:uiPriority w:val="0"/>
    <w:pPr>
      <w:spacing w:before="60" w:after="60"/>
      <w:ind w:firstLine="482"/>
    </w:pPr>
    <w:rPr>
      <w:rFonts w:ascii="Times New Roman" w:hAnsi="Times New Roman" w:eastAsia="宋体" w:cs="Times New Roman"/>
      <w:kern w:val="24"/>
      <w:sz w:val="28"/>
      <w:szCs w:val="2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2020-12-07T07:42:00Z</dcterms:created>
  <dc:creator>Neuropathy.</dc:creator>
  <cp:lastModifiedBy>Neuropathy.</cp:lastModifiedBy>
  <dcterms:modified xsi:type="dcterms:W3CDTF">2020-12-07T07:42:16Z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