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31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0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t>重庆华歌生物化学有限公司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0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</w:rPr>
              <w:t>年产1.5万吨1,1-亚乙基-2,2-联吡啶二氯盐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0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□验收评价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9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范小花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范小花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2021.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  <w:lang w:val="en-US" w:eastAsia="zh-CN"/>
              </w:rPr>
              <w:t>11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范小花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化工工艺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020778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ascii="Arial" w:hAnsi="Arial" w:eastAsia="仿宋" w:cs="Arial"/>
                <w:color w:val="000000"/>
                <w:szCs w:val="21"/>
              </w:rPr>
              <w:t>55090076428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王  梅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电气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019244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电气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019246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李  伟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机械、安全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020783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刘文娟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电气、自动化（仪表）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019235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田祖伟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安全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030719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熊仁君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化工工艺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015225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55070030074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唐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波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化工机械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lang w:bidi="ar"/>
              </w:rPr>
              <w:t>035894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0" w:type="auto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S011053000110201000802</w:t>
            </w:r>
          </w:p>
        </w:tc>
        <w:tc>
          <w:tcPr>
            <w:tcW w:w="0" w:type="auto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0" w:type="auto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0" w:type="auto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</w:tbl>
    <w:p>
      <w:r>
        <w:br w:type="page"/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2174"/>
        <w:gridCol w:w="2034"/>
        <w:gridCol w:w="1226"/>
        <w:gridCol w:w="3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项目依托现有高盖的生产装置改造年产5000吨1,1-亚乙基-2,2-联吡啶二氯盐（以下简称：敌草快二氯盐）产能的装置，另在现有设备堆场处新建年产1万吨敌草快二氯盐装置。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</w:pPr>
            <w:r>
              <w:rPr>
                <w:rFonts w:hint="eastAsia"/>
              </w:rPr>
              <w:t>现场勘察照片：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drawing>
                <wp:inline distT="0" distB="0" distL="114300" distR="114300">
                  <wp:extent cx="2223135" cy="2880995"/>
                  <wp:effectExtent l="0" t="0" r="5715" b="146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135" cy="288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2225675" cy="2888615"/>
                  <wp:effectExtent l="0" t="0" r="3175" b="698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675" cy="288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范小花</w:t>
            </w:r>
          </w:p>
        </w:tc>
        <w:tc>
          <w:tcPr>
            <w:tcW w:w="2034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2021年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7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月日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1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84900"/>
    <w:rsid w:val="35784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2021-12-22T02:42:00Z</dcterms:created>
  <dc:creator>雷楠</dc:creator>
  <cp:lastModifiedBy>雷楠</cp:lastModifiedBy>
  <dcterms:modified xsi:type="dcterms:W3CDTF">2021-12-22T02:42:34Z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D2E8BB85FC7E49E9A9A9EF0013DA773A</vt:lpwstr>
  </property>
</Properties>
</file>