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90"/>
        <w:gridCol w:w="407"/>
        <w:gridCol w:w="813"/>
        <w:gridCol w:w="949"/>
        <w:gridCol w:w="272"/>
        <w:gridCol w:w="175"/>
        <w:gridCol w:w="1051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景泰县天翔矿业有限责任公司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景泰县天翔矿业有限责任公司景泰三台井石膏矿安全预评价报告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李全文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20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3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王颜龙、白建明</w:t>
            </w:r>
          </w:p>
        </w:tc>
        <w:tc>
          <w:tcPr>
            <w:tcW w:w="220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</w:t>
            </w:r>
            <w:r>
              <w:rPr>
                <w:rFonts w:ascii="仿宋" w:hAnsi="仿宋" w:eastAsia="仿宋"/>
                <w:color w:val="auto"/>
                <w:szCs w:val="21"/>
              </w:rPr>
              <w:t>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203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李全文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1500000000200611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田祖伟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安全工程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 健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地质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1800000000301234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孙文豪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通风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S011053000110193002453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闫云光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采矿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S011053000110192002943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吴子科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水工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1500000000100173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李 伟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1800000000201223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王颜龙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采矿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1800000000301325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白建明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1700000000201198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62120125930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唐元杰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通风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0800000000103084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冯 皓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0800000000102949</w:t>
            </w:r>
          </w:p>
        </w:tc>
        <w:tc>
          <w:tcPr>
            <w:tcW w:w="252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bookmarkStart w:id="0" w:name="_Toc423437632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auto"/>
                <w:szCs w:val="21"/>
                <w:lang w:val="en-US" w:eastAsia="zh-CN"/>
              </w:rPr>
              <w:t>一、企业简介</w:t>
            </w:r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bookmarkStart w:id="1" w:name="_Toc227490309"/>
            <w:bookmarkStart w:id="2" w:name="_Toc248381623"/>
            <w:bookmarkStart w:id="3" w:name="_Toc185403055"/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景泰三台井石膏矿原隶属于景泰三台井石膏矿，公司法人为魏东邦。景泰三台井石膏矿于2015年06月29日取得</w:t>
            </w: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采矿</w:t>
            </w: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许可证，有效期为2018年06月28日。2016年7月9日新增开采矿种并</w:t>
            </w: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延期</w:t>
            </w: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获得采矿许可证，有效期至2023年10月8日，开采矿种：石膏、建筑用砂，开采方式：露天开采。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2021年4月采矿权人变更为：景泰县天翔矿业有限责任公司；矿山名称：景泰三台井石膏矿；开采矿种：石膏、建筑用砂；开采方式：露天开采，矿区面积0.1224km</w:t>
            </w: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vertAlign w:val="superscript"/>
                <w:lang w:val="zh-CN" w:eastAsia="zh-CN" w:bidi="ar-SA"/>
              </w:rPr>
              <w:t>2</w:t>
            </w: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； 开采深度：2173.02—2149.49m；生产规模：石膏1万吨/年、建筑用砂2万立方米/年，有效期至2023年10月8日。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景泰县天翔矿业有限责任公司成立于2017年05月09日，经济类型为有限责任公司，公司法人为魏晋坤，公司住所位于甘肃省白银市景泰县喜泉镇三台井村，经营范围为石膏露天开采；石膏、建筑用砂石料的加工及销售；工程机械设备租赁；普通货物道路运输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矿区位于白银市景泰县喜泉镇三台井村，直距景泰县城约40km，矿区南、西、北均为荒山、东侧为荒山和沟谷。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矿区西侧1200m外为头台井村居民区，东侧1300m外为二龙山居民区，东南侧3900m外为三台井村居民区，西侧2860m外为三台井村灌溉用储水水库。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sz w:val="21"/>
                <w:szCs w:val="21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矿区采点西南侧约300m处为石料加工场地，采点与石料加工场地之间有山体作为天然屏障。矿区西部、南部、东南部500m范围内均为荒山，其他方位在500m范围内均为山地或荒山。</w:t>
            </w:r>
          </w:p>
          <w:bookmarkEnd w:id="1"/>
          <w:bookmarkEnd w:id="2"/>
          <w:bookmarkEnd w:id="3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矿区周边500m范围内无以下“八类场所”设施和区域。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（1）居住区以及商业中心、公园等人员密集场所；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（2）学校、医院、影剧院、体育场（馆）等公共设施；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（3）饮用水源、水厂以及水源保护区；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（4）车站、码头（依法经许可从事危险化学品装卸作业的除外）、机场以及通信干线、高压电力线路、通信枢纽、铁路线路、道路交通干线、水路交通干线、地铁风亭以及地铁站出入口；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（5）基本农田保护区、基本草原、畜禽遗传资源保护区、畜禽规模化养殖场（养殖小区）、渔业水域以及种子、种畜禽、水产苗种生产基地；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（6）河流、湖泊、风景名胜区、自然保护区；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（7）军事禁区、军事管理区；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（8）法律、行政法规规定的其他场所、设施、区域。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矿山开采境界范围内无需要保护的自然保护区、森林公园、湿地公园、风景名胜区、无古树名木和国家重点保护的的野生动、植物资源等，周边环境良好。除此以外，平时仅有少数村民至此，矿山生产对周边环境影响较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</w:pPr>
            <w:r>
              <w:rPr>
                <w:rFonts w:hint="eastAsia" w:ascii="仿宋" w:hAnsi="仿宋" w:eastAsia="仿宋" w:cs="仿宋"/>
                <w:caps w:val="0"/>
                <w:color w:val="auto"/>
                <w:kern w:val="2"/>
                <w:sz w:val="21"/>
                <w:szCs w:val="21"/>
                <w:highlight w:val="none"/>
                <w:lang w:val="zh-CN" w:eastAsia="zh-CN" w:bidi="ar-SA"/>
              </w:rPr>
              <w:t>总体来说，矿山生产对周边生产、生活环境影响较小。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pStyle w:val="2"/>
              <w:jc w:val="both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2683510</wp:posOffset>
                  </wp:positionH>
                  <wp:positionV relativeFrom="paragraph">
                    <wp:posOffset>38100</wp:posOffset>
                  </wp:positionV>
                  <wp:extent cx="2600960" cy="2209800"/>
                  <wp:effectExtent l="0" t="0" r="8890" b="0"/>
                  <wp:wrapTight wrapText="bothSides">
                    <wp:wrapPolygon>
                      <wp:start x="0" y="0"/>
                      <wp:lineTo x="0" y="21414"/>
                      <wp:lineTo x="21516" y="21414"/>
                      <wp:lineTo x="21516" y="0"/>
                      <wp:lineTo x="0" y="0"/>
                    </wp:wrapPolygon>
                  </wp:wrapTight>
                  <wp:docPr id="1" name="图片 1" descr="IMG_20210426_094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426_09492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0960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54610</wp:posOffset>
                  </wp:positionH>
                  <wp:positionV relativeFrom="paragraph">
                    <wp:posOffset>116840</wp:posOffset>
                  </wp:positionV>
                  <wp:extent cx="2527300" cy="2122805"/>
                  <wp:effectExtent l="0" t="0" r="6350" b="10795"/>
                  <wp:wrapTight wrapText="bothSides">
                    <wp:wrapPolygon>
                      <wp:start x="0" y="0"/>
                      <wp:lineTo x="0" y="21322"/>
                      <wp:lineTo x="21491" y="21322"/>
                      <wp:lineTo x="21491" y="0"/>
                      <wp:lineTo x="0" y="0"/>
                    </wp:wrapPolygon>
                  </wp:wrapTight>
                  <wp:docPr id="2" name="图片 2" descr="IMG_20211010_173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11010_17340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300" cy="2122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2"/>
              <w:spacing w:line="240" w:lineRule="auto"/>
              <w:jc w:val="both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44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李全文、王颜龙</w:t>
            </w:r>
          </w:p>
        </w:tc>
        <w:tc>
          <w:tcPr>
            <w:tcW w:w="244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2021.7.17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zh-CN" w:eastAsia="zh-CN"/>
              </w:rPr>
              <w:t>1）作业人员存在劳动防护用品佩戴不规范现象；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</w:p>
        </w:tc>
      </w:tr>
    </w:tbl>
    <w:p>
      <w:bookmarkStart w:id="4" w:name="_GoBack"/>
      <w:bookmarkEnd w:id="4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810B5"/>
    <w:rsid w:val="0F081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 正文"/>
    <w:basedOn w:val="1"/>
    <w:qFormat/>
    <w:uiPriority w:val="99"/>
    <w:pPr>
      <w:spacing w:line="460" w:lineRule="exact"/>
      <w:ind w:firstLine="0" w:firstLineChars="0"/>
      <w:jc w:val="center"/>
    </w:pPr>
    <w:rPr>
      <w:b/>
      <w:kern w:val="0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2022-03-08T09:18:00Z</dcterms:created>
  <dc:creator>雷楠</dc:creator>
  <cp:lastModifiedBy>雷楠</cp:lastModifiedBy>
  <dcterms:modified xsi:type="dcterms:W3CDTF">2022-03-08T09:18:44Z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4E1A137A297247F7AC1EEDBC084020F0</vt:lpwstr>
  </property>
</Properties>
</file>