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8"/>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676"/>
        <w:gridCol w:w="273"/>
        <w:gridCol w:w="311"/>
        <w:gridCol w:w="691"/>
        <w:gridCol w:w="596"/>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hint="eastAsia" w:ascii="仿宋" w:hAnsi="仿宋" w:eastAsia="仿宋"/>
                <w:kern w:val="0"/>
                <w:szCs w:val="21"/>
                <w:lang w:eastAsia="zh-CN"/>
              </w:rPr>
            </w:pPr>
            <w:r>
              <w:rPr>
                <w:rFonts w:hint="eastAsia" w:ascii="仿宋" w:hAnsi="仿宋" w:eastAsia="仿宋" w:cs="Times New Roman"/>
                <w:color w:val="auto"/>
                <w:kern w:val="0"/>
                <w:szCs w:val="21"/>
                <w:lang w:eastAsia="zh-CN"/>
              </w:rPr>
              <w:t>务川自治县茅天镇久联砂石场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kern w:val="0"/>
                <w:szCs w:val="21"/>
              </w:rPr>
            </w:pPr>
            <w:r>
              <w:rPr>
                <w:rFonts w:hint="eastAsia" w:ascii="仿宋" w:hAnsi="仿宋" w:eastAsia="仿宋" w:cs="Times New Roman"/>
                <w:color w:val="auto"/>
                <w:kern w:val="0"/>
                <w:szCs w:val="21"/>
                <w:lang w:eastAsia="zh-CN"/>
              </w:rPr>
              <w:t>务川自治县茅天镇久联砂石场扩建项目安全预</w:t>
            </w:r>
            <w:r>
              <w:rPr>
                <w:rFonts w:hint="eastAsia" w:ascii="仿宋" w:hAnsi="仿宋" w:eastAsia="仿宋"/>
                <w:kern w:val="0"/>
                <w:szCs w:val="21"/>
                <w:lang w:eastAsia="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 </w:t>
            </w:r>
            <w:r>
              <w:rPr>
                <w:rFonts w:hint="eastAsia" w:ascii="仿宋" w:hAnsi="仿宋" w:eastAsia="仿宋"/>
                <w:szCs w:val="21"/>
                <w:lang w:eastAsia="zh-CN"/>
              </w:rPr>
              <w:t>☑</w:t>
            </w:r>
            <w:r>
              <w:rPr>
                <w:rFonts w:hint="eastAsia" w:ascii="仿宋" w:hAnsi="仿宋" w:eastAsia="仿宋"/>
                <w:szCs w:val="21"/>
              </w:rPr>
              <w:t xml:space="preserve">预评价   </w:t>
            </w:r>
            <w:r>
              <w:rPr>
                <w:rFonts w:hint="eastAsia" w:ascii="仿宋" w:hAnsi="仿宋" w:eastAsia="仿宋"/>
                <w:szCs w:val="21"/>
                <w:lang w:eastAsia="zh-CN"/>
              </w:rPr>
              <w:t>□</w:t>
            </w:r>
            <w:r>
              <w:rPr>
                <w:rFonts w:hint="eastAsia" w:ascii="仿宋" w:hAnsi="仿宋" w:eastAsia="仿宋"/>
                <w:szCs w:val="21"/>
              </w:rPr>
              <w:t>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hint="eastAsia" w:ascii="仿宋" w:hAnsi="仿宋" w:eastAsia="仿宋"/>
                <w:szCs w:val="21"/>
                <w:lang w:eastAsia="zh-CN"/>
              </w:rPr>
            </w:pPr>
            <w:r>
              <w:rPr>
                <w:rFonts w:hint="eastAsia" w:ascii="仿宋" w:hAnsi="仿宋" w:eastAsia="仿宋"/>
                <w:szCs w:val="21"/>
                <w:lang w:eastAsia="zh-CN"/>
              </w:rPr>
              <w:t>金属、非金属矿及其他矿采选业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陈红旭</w:t>
            </w:r>
          </w:p>
        </w:tc>
        <w:tc>
          <w:tcPr>
            <w:tcW w:w="2710" w:type="dxa"/>
            <w:gridSpan w:val="6"/>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唐元杰</w:t>
            </w:r>
          </w:p>
        </w:tc>
        <w:tc>
          <w:tcPr>
            <w:tcW w:w="2875" w:type="dxa"/>
            <w:gridSpan w:val="3"/>
            <w:vAlign w:val="center"/>
          </w:tcPr>
          <w:p>
            <w:pPr>
              <w:spacing w:line="500" w:lineRule="exact"/>
              <w:jc w:val="center"/>
              <w:rPr>
                <w:rFonts w:ascii="仿宋" w:hAnsi="仿宋" w:eastAsia="仿宋"/>
                <w:szCs w:val="21"/>
              </w:rPr>
            </w:pPr>
            <w:r>
              <w:rPr>
                <w:rFonts w:hint="eastAsia" w:ascii="仿宋_GB2312" w:eastAsia="仿宋_GB2312"/>
                <w:szCs w:val="21"/>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王艳飞</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2021.11</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lang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szCs w:val="22"/>
              </w:rPr>
            </w:pPr>
            <w:r>
              <w:rPr>
                <w:rFonts w:hint="eastAsia" w:ascii="Times New Roman" w:hAnsi="Times New Roman" w:eastAsia="宋体" w:cs="Times New Roman"/>
                <w:color w:val="auto"/>
                <w:kern w:val="0"/>
                <w:sz w:val="24"/>
                <w:lang w:eastAsia="zh-CN"/>
              </w:rPr>
              <w:t>陈红旭</w:t>
            </w:r>
          </w:p>
        </w:tc>
        <w:tc>
          <w:tcPr>
            <w:tcW w:w="1586" w:type="dxa"/>
            <w:gridSpan w:val="2"/>
            <w:vAlign w:val="center"/>
          </w:tcPr>
          <w:p>
            <w:pPr>
              <w:jc w:val="center"/>
              <w:rPr>
                <w:rFonts w:ascii="仿宋" w:hAnsi="仿宋" w:eastAsia="仿宋"/>
                <w:szCs w:val="22"/>
              </w:rPr>
            </w:pPr>
            <w:r>
              <w:rPr>
                <w:rFonts w:hint="eastAsia" w:ascii="Times New Roman" w:hAnsi="Times New Roman" w:eastAsia="宋体" w:cs="Times New Roman"/>
                <w:color w:val="auto"/>
                <w:kern w:val="0"/>
                <w:sz w:val="24"/>
                <w:lang w:eastAsia="zh-CN"/>
              </w:rPr>
              <w:t>机械相关专业</w:t>
            </w:r>
          </w:p>
        </w:tc>
        <w:tc>
          <w:tcPr>
            <w:tcW w:w="2661" w:type="dxa"/>
            <w:gridSpan w:val="5"/>
            <w:vAlign w:val="center"/>
          </w:tcPr>
          <w:p>
            <w:pPr>
              <w:jc w:val="center"/>
              <w:rPr>
                <w:rFonts w:ascii="Arial" w:hAnsi="Arial" w:cs="Arial"/>
                <w:szCs w:val="21"/>
              </w:rPr>
            </w:pPr>
            <w:r>
              <w:rPr>
                <w:rFonts w:hint="eastAsia" w:ascii="Times New Roman" w:hAnsi="Times New Roman" w:eastAsia="宋体" w:cs="Times New Roman"/>
                <w:color w:val="auto"/>
                <w:kern w:val="0"/>
                <w:sz w:val="24"/>
                <w:lang w:val="en-US" w:eastAsia="zh-CN"/>
              </w:rPr>
              <w:t>041366</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szCs w:val="22"/>
              </w:rPr>
            </w:pPr>
            <w:r>
              <w:rPr>
                <w:rFonts w:hint="eastAsia" w:ascii="Times New Roman" w:hAnsi="Times New Roman" w:eastAsia="宋体" w:cs="Times New Roman"/>
                <w:color w:val="auto"/>
                <w:kern w:val="0"/>
                <w:sz w:val="24"/>
                <w:lang w:eastAsia="zh-CN"/>
              </w:rPr>
              <w:t>田祖伟</w:t>
            </w:r>
          </w:p>
        </w:tc>
        <w:tc>
          <w:tcPr>
            <w:tcW w:w="1586" w:type="dxa"/>
            <w:gridSpan w:val="2"/>
            <w:vAlign w:val="center"/>
          </w:tcPr>
          <w:p>
            <w:pPr>
              <w:jc w:val="center"/>
              <w:rPr>
                <w:rFonts w:ascii="仿宋_GB2312" w:hAnsi="宋体" w:eastAsia="仿宋_GB2312" w:cs="宋体"/>
                <w:kern w:val="0"/>
                <w:szCs w:val="21"/>
              </w:rPr>
            </w:pPr>
            <w:r>
              <w:rPr>
                <w:rFonts w:hint="eastAsia" w:ascii="Times New Roman" w:hAnsi="Times New Roman" w:eastAsia="宋体" w:cs="Times New Roman"/>
                <w:color w:val="auto"/>
                <w:kern w:val="0"/>
                <w:sz w:val="24"/>
                <w:lang w:eastAsia="zh-CN"/>
              </w:rPr>
              <w:t>安全专业相关内容</w:t>
            </w:r>
          </w:p>
        </w:tc>
        <w:tc>
          <w:tcPr>
            <w:tcW w:w="2661" w:type="dxa"/>
            <w:gridSpan w:val="5"/>
            <w:vAlign w:val="center"/>
          </w:tcPr>
          <w:p>
            <w:pPr>
              <w:jc w:val="center"/>
              <w:rPr>
                <w:rFonts w:ascii="Arial" w:hAnsi="Arial" w:cs="Arial"/>
                <w:szCs w:val="21"/>
              </w:rPr>
            </w:pPr>
            <w:r>
              <w:rPr>
                <w:rFonts w:hint="eastAsia" w:ascii="Times New Roman" w:hAnsi="Times New Roman" w:eastAsia="宋体" w:cs="Times New Roman"/>
                <w:color w:val="auto"/>
                <w:kern w:val="0"/>
                <w:sz w:val="24"/>
                <w:lang w:val="en-US" w:eastAsia="zh-CN"/>
              </w:rPr>
              <w:t>030719</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仿宋_GB2312" w:eastAsia="仿宋_GB2312" w:cs="仿宋_GB2312"/>
                <w:color w:val="000000"/>
                <w:kern w:val="0"/>
                <w:sz w:val="24"/>
                <w:szCs w:val="24"/>
                <w:lang w:val="en-US" w:eastAsia="zh-CN" w:bidi="ar"/>
              </w:rPr>
              <w:t>55180193956</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eastAsia" w:ascii="仿宋" w:hAnsi="仿宋" w:eastAsia="仿宋"/>
                <w:szCs w:val="21"/>
                <w:lang w:eastAsia="zh-CN"/>
              </w:rPr>
            </w:pPr>
            <w:r>
              <w:rPr>
                <w:rFonts w:hint="eastAsia" w:ascii="Times New Roman" w:hAnsi="Times New Roman" w:eastAsia="宋体" w:cs="Times New Roman"/>
                <w:color w:val="auto"/>
                <w:kern w:val="0"/>
                <w:sz w:val="24"/>
                <w:lang w:eastAsia="zh-CN"/>
              </w:rPr>
              <w:t>王艳飞</w:t>
            </w:r>
          </w:p>
        </w:tc>
        <w:tc>
          <w:tcPr>
            <w:tcW w:w="1586" w:type="dxa"/>
            <w:gridSpan w:val="2"/>
            <w:vAlign w:val="center"/>
          </w:tcPr>
          <w:p>
            <w:pPr>
              <w:jc w:val="center"/>
              <w:rPr>
                <w:rFonts w:hint="eastAsia" w:ascii="仿宋" w:hAnsi="仿宋" w:eastAsia="仿宋"/>
                <w:szCs w:val="21"/>
              </w:rPr>
            </w:pPr>
            <w:r>
              <w:rPr>
                <w:rFonts w:hint="eastAsia" w:ascii="Times New Roman" w:hAnsi="Times New Roman" w:eastAsia="宋体" w:cs="Times New Roman"/>
                <w:color w:val="auto"/>
                <w:kern w:val="0"/>
                <w:sz w:val="24"/>
                <w:lang w:eastAsia="zh-CN"/>
              </w:rPr>
              <w:t>采矿工程专业</w:t>
            </w:r>
          </w:p>
        </w:tc>
        <w:tc>
          <w:tcPr>
            <w:tcW w:w="2661" w:type="dxa"/>
            <w:gridSpan w:val="5"/>
            <w:vAlign w:val="center"/>
          </w:tcPr>
          <w:p>
            <w:pPr>
              <w:jc w:val="center"/>
              <w:rPr>
                <w:rFonts w:hint="eastAsia" w:ascii="Arial" w:hAnsi="Arial" w:cs="Arial"/>
                <w:szCs w:val="21"/>
              </w:rPr>
            </w:pPr>
            <w:r>
              <w:rPr>
                <w:rFonts w:hint="eastAsia" w:ascii="Times New Roman" w:hAnsi="Times New Roman" w:eastAsia="宋体" w:cs="Times New Roman"/>
                <w:color w:val="auto"/>
                <w:kern w:val="0"/>
                <w:sz w:val="24"/>
                <w:lang w:val="en-US" w:eastAsia="zh-CN"/>
              </w:rPr>
              <w:t>036304</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宋体" w:eastAsia="仿宋_GB2312" w:cs="宋体"/>
                <w:kern w:val="0"/>
                <w:szCs w:val="21"/>
                <w:lang w:val="en-US" w:eastAsia="zh-CN"/>
              </w:rPr>
              <w:t>-</w:t>
            </w:r>
          </w:p>
        </w:tc>
        <w:tc>
          <w:tcPr>
            <w:tcW w:w="1663" w:type="dxa"/>
            <w:vAlign w:val="center"/>
          </w:tcPr>
          <w:p>
            <w:pPr>
              <w:widowControl/>
              <w:adjustRightInd w:val="0"/>
              <w:snapToGrid w:val="0"/>
              <w:jc w:val="center"/>
              <w:rPr>
                <w:rFonts w:hint="eastAsia"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eastAsia" w:ascii="Times New Roman" w:hAnsi="Times New Roman" w:eastAsia="宋体" w:cs="Times New Roman"/>
                <w:color w:val="auto"/>
                <w:kern w:val="0"/>
                <w:sz w:val="24"/>
                <w:lang w:eastAsia="zh-CN"/>
              </w:rPr>
            </w:pPr>
            <w:r>
              <w:rPr>
                <w:rFonts w:hint="eastAsia" w:ascii="Times New Roman" w:hAnsi="Times New Roman" w:cs="Times New Roman"/>
                <w:color w:val="auto"/>
                <w:kern w:val="0"/>
                <w:sz w:val="24"/>
                <w:lang w:eastAsia="zh-CN"/>
              </w:rPr>
              <w:t>吴子科</w:t>
            </w:r>
          </w:p>
        </w:tc>
        <w:tc>
          <w:tcPr>
            <w:tcW w:w="1586" w:type="dxa"/>
            <w:gridSpan w:val="2"/>
            <w:vAlign w:val="center"/>
          </w:tcPr>
          <w:p>
            <w:pPr>
              <w:jc w:val="center"/>
              <w:rPr>
                <w:rFonts w:hint="eastAsia" w:ascii="Times New Roman" w:hAnsi="Times New Roman" w:eastAsia="宋体" w:cs="Times New Roman"/>
                <w:color w:val="auto"/>
                <w:kern w:val="0"/>
                <w:sz w:val="24"/>
                <w:lang w:eastAsia="zh-CN"/>
              </w:rPr>
            </w:pPr>
            <w:r>
              <w:rPr>
                <w:rFonts w:hint="eastAsia" w:ascii="Times New Roman" w:hAnsi="Times New Roman" w:cs="Times New Roman"/>
                <w:color w:val="auto"/>
                <w:kern w:val="0"/>
                <w:sz w:val="24"/>
                <w:lang w:eastAsia="zh-CN"/>
              </w:rPr>
              <w:t>水工专业相关内容</w:t>
            </w:r>
          </w:p>
        </w:tc>
        <w:tc>
          <w:tcPr>
            <w:tcW w:w="2661" w:type="dxa"/>
            <w:gridSpan w:val="5"/>
            <w:vAlign w:val="center"/>
          </w:tcPr>
          <w:p>
            <w:pPr>
              <w:jc w:val="center"/>
              <w:rPr>
                <w:rFonts w:hint="eastAsia" w:ascii="Times New Roman" w:hAnsi="Times New Roman" w:eastAsia="宋体" w:cs="Times New Roman"/>
                <w:color w:val="auto"/>
                <w:kern w:val="0"/>
                <w:sz w:val="24"/>
                <w:lang w:val="en-US" w:eastAsia="zh-CN"/>
              </w:rPr>
            </w:pPr>
            <w:r>
              <w:rPr>
                <w:rFonts w:hint="eastAsia" w:ascii="Times New Roman" w:hAnsi="Times New Roman" w:eastAsia="宋体" w:cs="Times New Roman"/>
                <w:color w:val="auto"/>
                <w:kern w:val="0"/>
                <w:sz w:val="24"/>
                <w:lang w:val="en-US" w:eastAsia="zh-CN"/>
              </w:rPr>
              <w:t>023846</w:t>
            </w:r>
          </w:p>
        </w:tc>
        <w:tc>
          <w:tcPr>
            <w:tcW w:w="2662" w:type="dxa"/>
            <w:gridSpan w:val="5"/>
            <w:vAlign w:val="center"/>
          </w:tcPr>
          <w:p>
            <w:pPr>
              <w:widowControl/>
              <w:adjustRightInd w:val="0"/>
              <w:snapToGrid w:val="0"/>
              <w:jc w:val="center"/>
              <w:rPr>
                <w:rFonts w:hint="eastAsia" w:ascii="仿宋_GB2312" w:hAnsi="宋体" w:eastAsia="仿宋_GB2312" w:cs="宋体"/>
                <w:kern w:val="0"/>
                <w:szCs w:val="21"/>
                <w:lang w:val="en-US" w:eastAsia="zh-CN"/>
              </w:rPr>
            </w:pPr>
            <w:r>
              <w:rPr>
                <w:rFonts w:hint="eastAsia" w:ascii="仿宋_GB2312" w:hAnsi="仿宋_GB2312" w:eastAsia="仿宋_GB2312" w:cs="仿宋_GB2312"/>
                <w:color w:val="000000"/>
                <w:kern w:val="0"/>
                <w:sz w:val="24"/>
                <w:szCs w:val="24"/>
                <w:lang w:val="en-US" w:eastAsia="zh-CN" w:bidi="ar"/>
              </w:rPr>
              <w:t>55180193792</w:t>
            </w:r>
          </w:p>
        </w:tc>
        <w:tc>
          <w:tcPr>
            <w:tcW w:w="1663" w:type="dxa"/>
            <w:vAlign w:val="center"/>
          </w:tcPr>
          <w:p>
            <w:pPr>
              <w:widowControl/>
              <w:adjustRightInd w:val="0"/>
              <w:snapToGrid w:val="0"/>
              <w:jc w:val="center"/>
              <w:rPr>
                <w:rFonts w:hint="eastAsia" w:ascii="仿宋_GB2312" w:hAnsi="宋体" w:eastAsia="仿宋_GB2312" w:cs="宋体"/>
                <w:kern w:val="0"/>
                <w:szCs w:val="21"/>
                <w:lang w:eastAsia="zh-CN"/>
              </w:rPr>
            </w:pPr>
            <w:r>
              <w:rPr>
                <w:rFonts w:hint="eastAsia" w:ascii="仿宋_GB2312" w:hAnsi="宋体" w:eastAsia="仿宋_GB2312" w:cs="宋体"/>
                <w:kern w:val="0"/>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ascii="仿宋" w:hAnsi="仿宋" w:eastAsia="仿宋"/>
                <w:color w:val="000000" w:themeColor="text1"/>
                <w:szCs w:val="22"/>
                <w14:textFill>
                  <w14:solidFill>
                    <w14:schemeClr w14:val="tx1"/>
                  </w14:solidFill>
                </w14:textFill>
              </w:rPr>
            </w:pPr>
            <w:r>
              <w:rPr>
                <w:rFonts w:hint="eastAsia" w:ascii="Times New Roman" w:hAnsi="Times New Roman" w:eastAsia="宋体" w:cs="Times New Roman"/>
                <w:color w:val="auto"/>
                <w:kern w:val="0"/>
                <w:sz w:val="24"/>
                <w:lang w:eastAsia="zh-CN"/>
              </w:rPr>
              <w:t>黄义旭</w:t>
            </w:r>
          </w:p>
        </w:tc>
        <w:tc>
          <w:tcPr>
            <w:tcW w:w="1586" w:type="dxa"/>
            <w:gridSpan w:val="2"/>
            <w:vAlign w:val="center"/>
          </w:tcPr>
          <w:p>
            <w:pPr>
              <w:jc w:val="center"/>
              <w:rPr>
                <w:rFonts w:ascii="仿宋" w:hAnsi="仿宋" w:eastAsia="仿宋"/>
                <w:color w:val="000000" w:themeColor="text1"/>
                <w14:textFill>
                  <w14:solidFill>
                    <w14:schemeClr w14:val="tx1"/>
                  </w14:solidFill>
                </w14:textFill>
              </w:rPr>
            </w:pPr>
            <w:r>
              <w:rPr>
                <w:rFonts w:hint="eastAsia" w:ascii="Times New Roman" w:hAnsi="Times New Roman" w:eastAsia="宋体" w:cs="Times New Roman"/>
                <w:color w:val="auto"/>
                <w:kern w:val="0"/>
                <w:sz w:val="24"/>
                <w:lang w:eastAsia="zh-CN"/>
              </w:rPr>
              <w:t>地质专业相关内容</w:t>
            </w:r>
          </w:p>
        </w:tc>
        <w:tc>
          <w:tcPr>
            <w:tcW w:w="2661" w:type="dxa"/>
            <w:gridSpan w:val="5"/>
            <w:vAlign w:val="center"/>
          </w:tcPr>
          <w:p>
            <w:pPr>
              <w:jc w:val="center"/>
              <w:rPr>
                <w:rFonts w:ascii="Arial" w:hAnsi="Arial" w:cs="Arial"/>
                <w:color w:val="000000" w:themeColor="text1"/>
                <w:szCs w:val="21"/>
                <w14:textFill>
                  <w14:solidFill>
                    <w14:schemeClr w14:val="tx1"/>
                  </w14:solidFill>
                </w14:textFill>
              </w:rPr>
            </w:pPr>
            <w:r>
              <w:rPr>
                <w:rFonts w:hint="eastAsia" w:ascii="Times New Roman" w:hAnsi="Times New Roman" w:eastAsia="宋体" w:cs="Times New Roman"/>
                <w:color w:val="auto"/>
                <w:kern w:val="0"/>
                <w:sz w:val="24"/>
                <w:lang w:val="en-US" w:eastAsia="zh-CN"/>
              </w:rPr>
              <w:t>040714</w:t>
            </w:r>
          </w:p>
        </w:tc>
        <w:tc>
          <w:tcPr>
            <w:tcW w:w="2662" w:type="dxa"/>
            <w:gridSpan w:val="5"/>
            <w:vAlign w:val="center"/>
          </w:tcPr>
          <w:p>
            <w:pPr>
              <w:widowControl/>
              <w:adjustRightInd w:val="0"/>
              <w:snapToGrid w:val="0"/>
              <w:jc w:val="center"/>
              <w:rPr>
                <w:rFonts w:hint="eastAsia" w:ascii="仿宋_GB2312" w:hAnsi="宋体" w:eastAsia="仿宋_GB2312" w:cs="宋体"/>
                <w:color w:val="000000" w:themeColor="text1"/>
                <w:kern w:val="0"/>
                <w:szCs w:val="21"/>
                <w:lang w:eastAsia="zh-CN"/>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color w:val="000000" w:themeColor="text1"/>
                <w:kern w:val="0"/>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jc w:val="center"/>
              <w:rPr>
                <w:rFonts w:hint="eastAsia" w:ascii="仿宋" w:hAnsi="仿宋" w:eastAsia="仿宋"/>
                <w:color w:val="000000" w:themeColor="text1"/>
                <w:szCs w:val="22"/>
                <w:lang w:eastAsia="zh-CN"/>
                <w14:textFill>
                  <w14:solidFill>
                    <w14:schemeClr w14:val="tx1"/>
                  </w14:solidFill>
                </w14:textFill>
              </w:rPr>
            </w:pPr>
            <w:r>
              <w:rPr>
                <w:rFonts w:hint="eastAsia" w:ascii="Times New Roman" w:hAnsi="Times New Roman" w:eastAsia="宋体" w:cs="Times New Roman"/>
                <w:color w:val="auto"/>
                <w:kern w:val="0"/>
                <w:sz w:val="24"/>
                <w:lang w:eastAsia="zh-CN"/>
              </w:rPr>
              <w:t>王永辉</w:t>
            </w:r>
          </w:p>
        </w:tc>
        <w:tc>
          <w:tcPr>
            <w:tcW w:w="1586" w:type="dxa"/>
            <w:gridSpan w:val="2"/>
            <w:vAlign w:val="center"/>
          </w:tcPr>
          <w:p>
            <w:pPr>
              <w:jc w:val="center"/>
              <w:rPr>
                <w:rFonts w:hint="eastAsia" w:ascii="仿宋" w:hAnsi="仿宋" w:eastAsia="仿宋"/>
                <w:color w:val="000000" w:themeColor="text1"/>
                <w:szCs w:val="21"/>
                <w14:textFill>
                  <w14:solidFill>
                    <w14:schemeClr w14:val="tx1"/>
                  </w14:solidFill>
                </w14:textFill>
              </w:rPr>
            </w:pPr>
            <w:r>
              <w:rPr>
                <w:rFonts w:hint="eastAsia" w:ascii="Times New Roman" w:hAnsi="Times New Roman" w:eastAsia="宋体" w:cs="Times New Roman"/>
                <w:color w:val="auto"/>
                <w:kern w:val="0"/>
                <w:sz w:val="24"/>
                <w:lang w:eastAsia="zh-CN"/>
              </w:rPr>
              <w:t>电气专业相关内容</w:t>
            </w:r>
          </w:p>
        </w:tc>
        <w:tc>
          <w:tcPr>
            <w:tcW w:w="2661" w:type="dxa"/>
            <w:gridSpan w:val="5"/>
            <w:vAlign w:val="center"/>
          </w:tcPr>
          <w:p>
            <w:pPr>
              <w:jc w:val="center"/>
              <w:rPr>
                <w:rFonts w:hint="eastAsia" w:ascii="Arial" w:hAnsi="Arial" w:cs="Arial"/>
                <w:color w:val="000000" w:themeColor="text1"/>
                <w:szCs w:val="21"/>
                <w14:textFill>
                  <w14:solidFill>
                    <w14:schemeClr w14:val="tx1"/>
                  </w14:solidFill>
                </w14:textFill>
              </w:rPr>
            </w:pPr>
            <w:r>
              <w:rPr>
                <w:rFonts w:hint="eastAsia" w:ascii="Times New Roman" w:hAnsi="Times New Roman" w:eastAsia="宋体" w:cs="Times New Roman"/>
                <w:color w:val="auto"/>
                <w:kern w:val="0"/>
                <w:sz w:val="24"/>
                <w:lang w:val="en-US" w:eastAsia="zh-CN"/>
              </w:rPr>
              <w:t>034150</w:t>
            </w:r>
          </w:p>
        </w:tc>
        <w:tc>
          <w:tcPr>
            <w:tcW w:w="2662" w:type="dxa"/>
            <w:gridSpan w:val="5"/>
            <w:vAlign w:val="center"/>
          </w:tcPr>
          <w:p>
            <w:pPr>
              <w:widowControl/>
              <w:adjustRightInd w:val="0"/>
              <w:snapToGrid w:val="0"/>
              <w:jc w:val="cente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pPr>
            <w:r>
              <w:rPr>
                <w:rFonts w:hint="eastAsia" w:ascii="仿宋_GB2312" w:hAnsi="仿宋_GB2312" w:eastAsia="仿宋_GB2312" w:cs="仿宋_GB2312"/>
                <w:color w:val="000000" w:themeColor="text1"/>
                <w:kern w:val="0"/>
                <w:sz w:val="24"/>
                <w:szCs w:val="24"/>
                <w:lang w:val="en-US" w:eastAsia="zh-CN" w:bidi="ar"/>
                <w14:textFill>
                  <w14:solidFill>
                    <w14:schemeClr w14:val="tx1"/>
                  </w14:solidFill>
                </w14:textFill>
              </w:rPr>
              <w:t>-</w:t>
            </w:r>
          </w:p>
        </w:tc>
        <w:tc>
          <w:tcPr>
            <w:tcW w:w="1663" w:type="dxa"/>
            <w:vAlign w:val="center"/>
          </w:tcPr>
          <w:p>
            <w:pPr>
              <w:widowControl/>
              <w:adjustRightInd w:val="0"/>
              <w:snapToGrid w:val="0"/>
              <w:jc w:val="center"/>
              <w:rPr>
                <w:rFonts w:hint="eastAsia" w:ascii="仿宋_GB2312" w:hAnsi="宋体" w:eastAsia="仿宋_GB2312" w:cs="宋体"/>
                <w:color w:val="000000" w:themeColor="text1"/>
                <w:kern w:val="0"/>
                <w:szCs w:val="21"/>
                <w14:textFill>
                  <w14:solidFill>
                    <w14:schemeClr w14:val="tx1"/>
                  </w14:solidFill>
                </w14:textFill>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rPr>
              <w:t>唐元杰</w:t>
            </w:r>
          </w:p>
        </w:tc>
        <w:tc>
          <w:tcPr>
            <w:tcW w:w="1586" w:type="dxa"/>
            <w:gridSpan w:val="2"/>
            <w:vAlign w:val="center"/>
          </w:tcPr>
          <w:p>
            <w:pPr>
              <w:widowControl/>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采矿专业</w:t>
            </w:r>
          </w:p>
        </w:tc>
        <w:tc>
          <w:tcPr>
            <w:tcW w:w="2661" w:type="dxa"/>
            <w:gridSpan w:val="5"/>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001493</w:t>
            </w:r>
          </w:p>
        </w:tc>
        <w:tc>
          <w:tcPr>
            <w:tcW w:w="2662" w:type="dxa"/>
            <w:gridSpan w:val="5"/>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55070030029</w:t>
            </w:r>
          </w:p>
        </w:tc>
        <w:tc>
          <w:tcPr>
            <w:tcW w:w="1663" w:type="dxa"/>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冯皓</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机械；化工机械</w:t>
            </w:r>
          </w:p>
        </w:tc>
        <w:tc>
          <w:tcPr>
            <w:tcW w:w="2661" w:type="dxa"/>
            <w:gridSpan w:val="5"/>
            <w:vAlign w:val="center"/>
          </w:tcPr>
          <w:p>
            <w:pPr>
              <w:widowControl/>
              <w:adjustRightInd w:val="0"/>
              <w:snapToGrid w:val="0"/>
              <w:rPr>
                <w:rFonts w:hint="eastAsia" w:ascii="宋体" w:hAnsi="宋体" w:eastAsia="宋体" w:cs="Calibr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S011053000110201000802</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Calibri" w:eastAsia="仿宋_GB2312" w:cs="Times New Roman"/>
                <w:kern w:val="2"/>
                <w:sz w:val="21"/>
                <w:szCs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蔡治勇</w:t>
            </w:r>
          </w:p>
        </w:tc>
        <w:tc>
          <w:tcPr>
            <w:tcW w:w="1586" w:type="dxa"/>
            <w:gridSpan w:val="2"/>
            <w:vAlign w:val="center"/>
          </w:tcPr>
          <w:p>
            <w:pPr>
              <w:widowControl/>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lang w:eastAsia="zh-CN"/>
              </w:rPr>
              <w:t>热能与动力；火工</w:t>
            </w:r>
          </w:p>
        </w:tc>
        <w:tc>
          <w:tcPr>
            <w:tcW w:w="2661" w:type="dxa"/>
            <w:gridSpan w:val="5"/>
            <w:vAlign w:val="center"/>
          </w:tcPr>
          <w:p>
            <w:pPr>
              <w:widowControl/>
              <w:jc w:val="center"/>
              <w:rPr>
                <w:rFonts w:hint="eastAsia" w:ascii="宋体" w:hAnsi="宋体" w:eastAsia="宋体" w:cs="宋体"/>
                <w:kern w:val="0"/>
                <w:sz w:val="21"/>
                <w:lang w:val="en-US" w:eastAsia="zh-CN" w:bidi="ar-SA"/>
              </w:rPr>
            </w:pPr>
            <w:r>
              <w:rPr>
                <w:rFonts w:hint="eastAsia" w:ascii="宋体" w:hAnsi="宋体" w:cs="宋体"/>
                <w:kern w:val="0"/>
              </w:rPr>
              <w:t>0800000000102949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0074134</w:t>
            </w:r>
          </w:p>
        </w:tc>
        <w:tc>
          <w:tcPr>
            <w:tcW w:w="1663" w:type="dxa"/>
            <w:vAlign w:val="center"/>
          </w:tcPr>
          <w:p>
            <w:pPr>
              <w:adjustRightInd w:val="0"/>
              <w:snapToGrid w:val="0"/>
              <w:jc w:val="center"/>
              <w:rPr>
                <w:rFonts w:hint="eastAsia" w:ascii="仿宋_GB2312" w:hAnsi="Calibri" w:eastAsia="仿宋_GB2312" w:cs="仿宋_GB2312"/>
                <w:kern w:val="2"/>
                <w:sz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tcPr>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仿宋" w:hAnsi="仿宋" w:eastAsia="仿宋" w:cs="Times New Roman"/>
                <w:color w:val="auto"/>
                <w:kern w:val="0"/>
                <w:szCs w:val="21"/>
                <w:lang w:eastAsia="zh-CN"/>
              </w:rPr>
            </w:pPr>
            <w:bookmarkStart w:id="0" w:name="_Hlk71752751"/>
            <w:bookmarkStart w:id="1" w:name="_Hlk71753044"/>
            <w:r>
              <w:rPr>
                <w:rFonts w:hint="eastAsia" w:ascii="仿宋" w:hAnsi="仿宋" w:eastAsia="仿宋" w:cs="Times New Roman"/>
                <w:color w:val="auto"/>
                <w:kern w:val="0"/>
                <w:szCs w:val="21"/>
                <w:lang w:eastAsia="zh-CN"/>
              </w:rPr>
              <w:t>务川自治县茅天镇久联砂石场属扩建露天采石场矿山（以下简称“该矿山”）</w:t>
            </w:r>
            <w:bookmarkStart w:id="2" w:name="_Hlk83498453"/>
            <w:r>
              <w:rPr>
                <w:rFonts w:hint="eastAsia" w:ascii="仿宋" w:hAnsi="仿宋" w:eastAsia="仿宋" w:cs="Times New Roman"/>
                <w:color w:val="auto"/>
                <w:kern w:val="0"/>
                <w:szCs w:val="21"/>
                <w:lang w:eastAsia="zh-CN"/>
              </w:rPr>
              <w:t>，位于务川自治县茅天镇红心村</w:t>
            </w:r>
            <w:bookmarkEnd w:id="0"/>
            <w:bookmarkEnd w:id="2"/>
            <w:r>
              <w:rPr>
                <w:rFonts w:hint="eastAsia" w:ascii="仿宋" w:hAnsi="仿宋" w:eastAsia="仿宋" w:cs="Times New Roman"/>
                <w:color w:val="auto"/>
                <w:kern w:val="0"/>
                <w:szCs w:val="21"/>
                <w:lang w:eastAsia="zh-CN"/>
              </w:rPr>
              <w:t>，该矿山于2021年10月8日取得务川自治县国土资源局颁发的扩能后的采矿许可证（证号：C5203262021107130152670），采矿权人：务川自治县茅天镇久联砂石场；开采矿种：建筑石料用灰岩、无；开采方式：露天开采；生产规模：50万吨/年；矿区范围由10个拐点坐标圈定，矿区面积：0.0406k㎡；开采深度：960m～855m；有效期限：2021年10月至2024年10月。</w:t>
            </w:r>
          </w:p>
          <w:bookmarkEnd w:id="1"/>
          <w:p>
            <w:pPr>
              <w:keepNext w:val="0"/>
              <w:keepLines w:val="0"/>
              <w:pageBreakBefore w:val="0"/>
              <w:widowControl w:val="0"/>
              <w:kinsoku/>
              <w:wordWrap/>
              <w:overflowPunct/>
              <w:topLinePunct w:val="0"/>
              <w:autoSpaceDE/>
              <w:autoSpaceDN/>
              <w:bidi w:val="0"/>
              <w:adjustRightInd/>
              <w:snapToGrid/>
              <w:spacing w:line="240" w:lineRule="auto"/>
              <w:ind w:firstLine="420" w:firstLineChars="200"/>
              <w:jc w:val="left"/>
              <w:textAlignment w:val="auto"/>
              <w:rPr>
                <w:rFonts w:hint="eastAsia" w:ascii="仿宋" w:hAnsi="仿宋" w:eastAsia="仿宋" w:cs="Times New Roman"/>
                <w:color w:val="auto"/>
                <w:kern w:val="0"/>
                <w:szCs w:val="21"/>
                <w:lang w:eastAsia="zh-CN"/>
              </w:rPr>
            </w:pPr>
            <w:r>
              <w:rPr>
                <w:rFonts w:hint="eastAsia" w:ascii="仿宋" w:hAnsi="仿宋" w:eastAsia="仿宋" w:cs="Times New Roman"/>
                <w:color w:val="auto"/>
                <w:kern w:val="0"/>
                <w:szCs w:val="21"/>
                <w:lang w:eastAsia="zh-CN"/>
              </w:rPr>
              <w:t>矿山于2021年11月委托贵州永风矿山科技服务有限公司编制《务川自治县茅天镇久联砂石场（扩建）开采方案设计》（以下简称开采方案设计），矿山采用露天开采，设计采用公路汽车运输开拓方案，采用自上而下台阶式开采，采用中深孔爆破落矿，挖掘机挖装，汽车运输。</w:t>
            </w:r>
          </w:p>
          <w:p>
            <w:pPr>
              <w:jc w:val="left"/>
              <w:rPr>
                <w:rFonts w:hint="eastAsia" w:ascii="仿宋" w:hAnsi="仿宋" w:eastAsia="仿宋" w:cs="Times New Roman"/>
                <w:color w:val="auto"/>
                <w:kern w:val="0"/>
                <w:szCs w:val="21"/>
                <w:lang w:eastAsia="zh-CN"/>
              </w:rPr>
            </w:pPr>
            <w:r>
              <w:rPr>
                <w:rFonts w:hint="eastAsia" w:ascii="仿宋" w:hAnsi="仿宋" w:eastAsia="仿宋" w:cs="Times New Roman"/>
                <w:color w:val="auto"/>
                <w:kern w:val="0"/>
                <w:szCs w:val="21"/>
                <w:lang w:eastAsia="zh-CN"/>
              </w:rPr>
              <w:t>受务川自治县茅天镇久联砂石场委托，由具有安全评价资质的重庆市安全生产科学研究有限公司承担了该矿山安全预评价。接受委托后，我公司第一时间组成了安全评价小组到现场对照规范进行检查，并收集了相关资料，评价项目组按照《国家安全监管总局关于印发金属非金属矿山建设项目安全评价报告编写提纲的通知》（安监总管一〔2016〕49号）的要求，将项目划分为总平面布置单元、开拓运输单元、采剥单元、矿山供配电设施单元、防排水单元、排土场单元、安全管理及其它单元、重大危险源辨识单元共8个评价单元，依据《金属非金属矿山安全规程》（GB 16423-2020）、《爆破安全规程》（GB 6722-2014）、《企业职工伤亡事故分类标准》（GB6441-1986）等相关规范性文件与标准，分单元辨识项目可能存在的危险、有害因素，分析可能发生的事故类型，预测事故后果严重等级；采用安全检查表法、预先危险性分析法、专家法等评价方法对各评价单元进行评价，并对爆破有害效应进行评价。针对存在的主要安全问题，提出安全对策措施及建议，作出了安全预评价结论，编制了《务川自治县茅天镇久联砂石场扩建项目安全预评价报告》。</w:t>
            </w:r>
          </w:p>
          <w:p>
            <w:pPr>
              <w:pStyle w:val="6"/>
              <w:widowControl w:val="0"/>
              <w:spacing w:before="0" w:beforeAutospacing="0" w:after="120" w:afterAutospacing="0"/>
              <w:ind w:firstLine="420" w:firstLineChars="200"/>
              <w:jc w:val="left"/>
              <w:rPr>
                <w:rFonts w:ascii="Arial" w:hAnsi="Arial" w:cs="Arial"/>
                <w:color w:val="auto"/>
              </w:rPr>
            </w:pPr>
            <w:r>
              <w:rPr>
                <w:rFonts w:hint="eastAsia"/>
              </w:rPr>
              <w:t>现场勘查照</w:t>
            </w:r>
          </w:p>
          <w:p>
            <w:pPr>
              <w:widowControl w:val="0"/>
              <w:snapToGrid w:val="0"/>
              <w:spacing w:line="360" w:lineRule="auto"/>
              <w:jc w:val="center"/>
              <w:rPr>
                <w:rFonts w:ascii="Arial" w:hAnsi="Arial" w:cs="Arial"/>
                <w:bCs/>
                <w:sz w:val="28"/>
                <w:szCs w:val="28"/>
              </w:rPr>
            </w:pPr>
            <w:bookmarkStart w:id="3" w:name="_GoBack"/>
            <w:bookmarkEnd w:id="3"/>
          </w:p>
          <w:p>
            <w:pPr>
              <w:pStyle w:val="6"/>
              <w:widowControl w:val="0"/>
              <w:autoSpaceDE w:val="0"/>
              <w:autoSpaceDN w:val="0"/>
              <w:adjustRightInd w:val="0"/>
              <w:spacing w:before="0" w:beforeAutospacing="0" w:after="0" w:afterAutospacing="0" w:line="360" w:lineRule="auto"/>
              <w:rPr>
                <w:rFonts w:ascii="Arial" w:hAnsi="Arial" w:cs="Arial"/>
                <w:b/>
                <w:bCs/>
                <w:color w:val="auto"/>
                <w:sz w:val="28"/>
                <w:szCs w:val="28"/>
              </w:rPr>
            </w:pPr>
            <w:r>
              <w:rPr>
                <w:rFonts w:ascii="Arial" w:hAnsi="Arial" w:cs="Arial"/>
                <w:color w:val="auto"/>
              </w:rPr>
              <w:drawing>
                <wp:inline distT="0" distB="0" distL="114300" distR="114300">
                  <wp:extent cx="5760085" cy="4686935"/>
                  <wp:effectExtent l="0" t="0" r="12065" b="18415"/>
                  <wp:docPr id="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pic:cNvPicPr>
                            <a:picLocks noChangeAspect="1"/>
                          </pic:cNvPicPr>
                        </pic:nvPicPr>
                        <pic:blipFill>
                          <a:blip r:embed="rId4"/>
                          <a:stretch>
                            <a:fillRect/>
                          </a:stretch>
                        </pic:blipFill>
                        <pic:spPr>
                          <a:xfrm>
                            <a:off x="0" y="0"/>
                            <a:ext cx="5760085" cy="4686935"/>
                          </a:xfrm>
                          <a:prstGeom prst="rect">
                            <a:avLst/>
                          </a:prstGeom>
                          <a:noFill/>
                          <a:ln>
                            <a:noFill/>
                          </a:ln>
                        </pic:spPr>
                      </pic:pic>
                    </a:graphicData>
                  </a:graphic>
                </wp:inline>
              </w:drawing>
            </w:r>
          </w:p>
          <w:p>
            <w:pPr>
              <w:jc w:val="left"/>
              <w:rPr>
                <w:rFonts w:hint="eastAsia" w:eastAsiaTheme="minorEastAsia"/>
                <w:lang w:eastAsia="zh-CN"/>
              </w:rPr>
            </w:pPr>
          </w:p>
          <w:p/>
          <w:p>
            <w:pPr>
              <w:pStyle w:val="7"/>
              <w:ind w:firstLine="0" w:firstLineChars="0"/>
              <w:rPr>
                <w:rFonts w:ascii="仿宋" w:hAnsi="仿宋" w:eastAsia="仿宋"/>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75"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634"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陈红旭</w:t>
            </w:r>
          </w:p>
        </w:tc>
        <w:tc>
          <w:tcPr>
            <w:tcW w:w="2077" w:type="dxa"/>
            <w:gridSpan w:val="3"/>
            <w:vAlign w:val="center"/>
          </w:tcPr>
          <w:p>
            <w:pPr>
              <w:spacing w:line="300" w:lineRule="exact"/>
              <w:jc w:val="center"/>
              <w:rPr>
                <w:rFonts w:hint="default" w:ascii="仿宋" w:hAnsi="仿宋" w:eastAsia="仿宋"/>
                <w:szCs w:val="21"/>
                <w:lang w:val="en-US" w:eastAsia="zh-CN"/>
              </w:rPr>
            </w:pPr>
            <w:r>
              <w:rPr>
                <w:rFonts w:hint="eastAsia" w:ascii="仿宋" w:hAnsi="仿宋" w:eastAsia="仿宋"/>
                <w:szCs w:val="21"/>
                <w:lang w:val="en-US" w:eastAsia="zh-CN"/>
              </w:rPr>
              <w:t>2021.11.15</w:t>
            </w:r>
          </w:p>
        </w:tc>
        <w:tc>
          <w:tcPr>
            <w:tcW w:w="1275" w:type="dxa"/>
            <w:gridSpan w:val="3"/>
            <w:vAlign w:val="center"/>
          </w:tcPr>
          <w:p>
            <w:pPr>
              <w:pStyle w:val="3"/>
              <w:ind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现场指导</w:t>
            </w:r>
          </w:p>
        </w:tc>
        <w:tc>
          <w:tcPr>
            <w:tcW w:w="3634" w:type="dxa"/>
            <w:gridSpan w:val="5"/>
            <w:vMerge w:val="restart"/>
            <w:vAlign w:val="center"/>
          </w:tcPr>
          <w:p>
            <w:pPr>
              <w:pStyle w:val="3"/>
              <w:ind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1、缺少警示标识。</w:t>
            </w:r>
          </w:p>
          <w:p>
            <w:pPr>
              <w:pStyle w:val="3"/>
              <w:ind w:firstLine="0"/>
              <w:jc w:val="left"/>
              <w:rPr>
                <w:rFonts w:hint="default"/>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hint="eastAsia" w:ascii="仿宋" w:hAnsi="仿宋" w:eastAsia="仿宋"/>
                <w:szCs w:val="21"/>
                <w:lang w:eastAsia="zh-CN"/>
              </w:rPr>
            </w:pPr>
            <w:r>
              <w:rPr>
                <w:rFonts w:hint="eastAsia" w:ascii="仿宋" w:hAnsi="仿宋" w:eastAsia="仿宋"/>
                <w:szCs w:val="21"/>
                <w:lang w:eastAsia="zh-CN"/>
              </w:rPr>
              <w:t>王艳飞</w:t>
            </w:r>
          </w:p>
        </w:tc>
        <w:tc>
          <w:tcPr>
            <w:tcW w:w="2077" w:type="dxa"/>
            <w:gridSpan w:val="3"/>
            <w:vAlign w:val="center"/>
          </w:tcPr>
          <w:p>
            <w:pPr>
              <w:spacing w:line="300" w:lineRule="exact"/>
              <w:jc w:val="center"/>
              <w:rPr>
                <w:rFonts w:hint="default" w:ascii="仿宋" w:hAnsi="仿宋" w:eastAsia="仿宋"/>
                <w:szCs w:val="21"/>
                <w:lang w:val="en-US"/>
              </w:rPr>
            </w:pPr>
            <w:r>
              <w:rPr>
                <w:rFonts w:hint="eastAsia" w:ascii="仿宋" w:hAnsi="仿宋" w:eastAsia="仿宋"/>
                <w:szCs w:val="21"/>
                <w:lang w:val="en-US" w:eastAsia="zh-CN"/>
              </w:rPr>
              <w:t>2021.11.15</w:t>
            </w:r>
          </w:p>
        </w:tc>
        <w:tc>
          <w:tcPr>
            <w:tcW w:w="1275" w:type="dxa"/>
            <w:gridSpan w:val="3"/>
            <w:vAlign w:val="center"/>
          </w:tcPr>
          <w:p>
            <w:pPr>
              <w:pStyle w:val="3"/>
              <w:ind w:firstLine="0"/>
              <w:jc w:val="left"/>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现场指导</w:t>
            </w:r>
          </w:p>
        </w:tc>
        <w:tc>
          <w:tcPr>
            <w:tcW w:w="3634" w:type="dxa"/>
            <w:gridSpan w:val="5"/>
            <w:vMerge w:val="continue"/>
            <w:vAlign w:val="center"/>
          </w:tcPr>
          <w:p>
            <w:pPr>
              <w:pStyle w:val="3"/>
              <w:ind w:firstLine="0"/>
              <w:jc w:val="left"/>
              <w:rPr>
                <w:rFonts w:hint="eastAsia" w:ascii="仿宋" w:hAnsi="仿宋" w:eastAsia="仿宋" w:cs="Times New Roman"/>
                <w:kern w:val="2"/>
                <w:sz w:val="21"/>
                <w:szCs w:val="21"/>
                <w:lang w:val="en-US" w:eastAsia="zh-CN" w:bidi="ar-SA"/>
              </w:rPr>
            </w:pPr>
          </w:p>
        </w:tc>
      </w:tr>
    </w:tbl>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EFF" w:usb1="C000785B"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6DB4220"/>
    <w:rsid w:val="021E60E6"/>
    <w:rsid w:val="36DB4220"/>
    <w:rsid w:val="742529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 w:type="paragraph" w:styleId="3">
    <w:name w:val="Normal Indent"/>
    <w:basedOn w:val="1"/>
    <w:next w:val="1"/>
    <w:qFormat/>
    <w:uiPriority w:val="0"/>
    <w:pPr>
      <w:spacing w:line="360" w:lineRule="auto"/>
      <w:ind w:firstLine="397"/>
    </w:pPr>
    <w:rPr>
      <w:sz w:val="24"/>
    </w:rPr>
  </w:style>
  <w:style w:type="paragraph" w:styleId="4">
    <w:name w:val="Body Text Indent"/>
    <w:basedOn w:val="1"/>
    <w:next w:val="5"/>
    <w:qFormat/>
    <w:uiPriority w:val="0"/>
    <w:pPr>
      <w:ind w:firstLine="560" w:firstLineChars="200"/>
    </w:pPr>
    <w:rPr>
      <w:rFonts w:ascii="宋体" w:hAnsi="宋体"/>
      <w:sz w:val="28"/>
      <w:szCs w:val="24"/>
    </w:rPr>
  </w:style>
  <w:style w:type="paragraph" w:styleId="5">
    <w:name w:val="footer"/>
    <w:basedOn w:val="1"/>
    <w:unhideWhenUsed/>
    <w:qFormat/>
    <w:uiPriority w:val="99"/>
    <w:pPr>
      <w:tabs>
        <w:tab w:val="center" w:pos="4153"/>
        <w:tab w:val="right" w:pos="8306"/>
      </w:tabs>
      <w:snapToGrid w:val="0"/>
      <w:jc w:val="left"/>
    </w:pPr>
    <w:rPr>
      <w:sz w:val="18"/>
      <w:szCs w:val="18"/>
    </w:rPr>
  </w:style>
  <w:style w:type="paragraph" w:styleId="6">
    <w:name w:val="Normal (Web)"/>
    <w:basedOn w:val="1"/>
    <w:qFormat/>
    <w:uiPriority w:val="99"/>
    <w:pPr>
      <w:spacing w:before="100" w:beforeAutospacing="1" w:after="100" w:afterAutospacing="1"/>
    </w:pPr>
    <w:rPr>
      <w:rFonts w:ascii="宋体" w:hAnsi="宋体"/>
      <w:color w:val="000000"/>
    </w:rPr>
  </w:style>
  <w:style w:type="paragraph" w:styleId="7">
    <w:name w:val="Body Text First Indent 2"/>
    <w:basedOn w:val="4"/>
    <w:unhideWhenUsed/>
    <w:qFormat/>
    <w:uiPriority w:val="99"/>
    <w:pPr>
      <w:ind w:firstLine="42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2021-12-22T02:54:00Z</dcterms:created>
  <dc:creator>雷楠</dc:creator>
  <cp:lastModifiedBy>雷楠</cp:lastModifiedBy>
  <dcterms:modified xsi:type="dcterms:W3CDTF">2022-03-22T04:06:59Z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D2D86C02C84F43B7BE1A9F794949753F</vt:lpwstr>
  </property>
</Properties>
</file>