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重庆市万州区和福建材有限公司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重庆市万州区和福建材有限公司重庆市万州区九池乡砖瓦用页岩矿（改建）一采区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2022.11</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rFonts w:hint="eastAsia"/>
                <w:color w:val="000000"/>
                <w:szCs w:val="28"/>
              </w:rPr>
              <w:t>重庆市万州区和福建材有限公司成立于2012年5月14日，经济类型属有限责任公司，统一社会信用代码915001015967015012，法定代表人为刘东鑫，经营范围为露天开采砖瓦用页岩；生产、销售建材、普通货运。</w:t>
            </w:r>
          </w:p>
          <w:p>
            <w:pPr>
              <w:ind w:firstLine="560"/>
              <w:rPr>
                <w:rFonts w:hint="eastAsia"/>
                <w:color w:val="000000"/>
                <w:szCs w:val="28"/>
              </w:rPr>
            </w:pPr>
            <w:r>
              <w:rPr>
                <w:rFonts w:hint="eastAsia"/>
                <w:color w:val="000000"/>
                <w:szCs w:val="28"/>
              </w:rPr>
              <w:t>重庆市万州区和福建材有限公司重庆市万州区九池乡砖瓦用页岩矿为其所属矿山，采矿许可证证号：C5001012013127130132408，生产规模：8万吨/年，开采矿种：砖瓦用页岩，矿区面积：0.0475km2，开采标高：+745m～+645m，有效期2021年9月22日至2033年12月21日。</w:t>
            </w:r>
          </w:p>
          <w:p>
            <w:pPr>
              <w:ind w:firstLine="560"/>
              <w:rPr>
                <w:rFonts w:hint="eastAsia"/>
                <w:color w:val="000000"/>
                <w:szCs w:val="28"/>
              </w:rPr>
            </w:pPr>
            <w:r>
              <w:rPr>
                <w:rFonts w:hint="eastAsia"/>
                <w:color w:val="000000"/>
                <w:szCs w:val="28"/>
              </w:rPr>
              <w:t>由于前期矿山生产规模进行了调整，由20万吨/年调整为8万吨/年，且原设计中二采区范围内民房无法处理，将二采区设为暂不开采区，根据《建设项目安全设施“三同时”监督管理办法》（国家安全监管总局令〔2010〕第36号公布，〔2015〕第77号修正）等相关法律法规的规定，该矿山应按改建性质履行安全设施“三同时”程序。企业2022年4月委托重庆道尔工程技术有限公司编制了《重庆市万州区和福建材有限公司重庆市万州区九池乡砖瓦用页岩矿（改建）安全设施设计》，并通过了重庆市万州区应急管理局组织的专家组评审，并取得了《重庆市万州区应急管理局关于同意重庆市万州区和福建材有限公司重庆市万州区九池乡砖瓦用页岩矿（改建）项目建设施工的函》（万州应急﹝2022﹞45号）</w:t>
            </w:r>
            <w:r>
              <w:rPr>
                <w:color w:val="000000"/>
                <w:szCs w:val="28"/>
              </w:rPr>
              <w:t>。</w:t>
            </w:r>
          </w:p>
          <w:p>
            <w:pPr>
              <w:pStyle w:val="2"/>
              <w:ind w:firstLine="0"/>
              <w:jc w:val="both"/>
              <w:rPr>
                <w:rFonts w:hint="default" w:hAnsi="宋体" w:eastAsia="宋体"/>
                <w:szCs w:val="21"/>
                <w:lang w:val="en-US" w:eastAsia="zh-CN"/>
              </w:rPr>
            </w:pPr>
            <w:r>
              <w:drawing>
                <wp:inline distT="0" distB="0" distL="114300" distR="114300">
                  <wp:extent cx="5274310" cy="246888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4310" cy="2468880"/>
                          </a:xfrm>
                          <a:prstGeom prst="rect">
                            <a:avLst/>
                          </a:prstGeom>
                          <a:noFill/>
                          <a:ln>
                            <a:noFill/>
                          </a:ln>
                        </pic:spPr>
                      </pic:pic>
                    </a:graphicData>
                  </a:graphic>
                </wp:inline>
              </w:drawing>
            </w:r>
            <w:r>
              <w:rPr>
                <w:rFonts w:hint="eastAsia" w:hAnsi="宋体"/>
                <w:szCs w:val="21"/>
                <w:lang w:val="en-US" w:eastAsia="zh-CN"/>
              </w:rPr>
              <w:t xml:space="preserve">  </w:t>
            </w:r>
          </w:p>
          <w:p>
            <w:pPr>
              <w:pStyle w:val="2"/>
              <w:ind w:firstLine="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2022年11月4日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2022年11月4日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13D7913"/>
    <w:rsid w:val="513D7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2022-12-15T06:09:00Z</dcterms:created>
  <dc:creator>雷楠</dc:creator>
  <cp:lastModifiedBy>雷楠</cp:lastModifiedBy>
  <dcterms:modified xsi:type="dcterms:W3CDTF">2022-12-15T06:10:05Z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01DF4B567A074B0DA3B2925D97B1747F</vt:lpwstr>
  </property>
</Properties>
</file>