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重庆冠鹰矿业集团有限公司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重庆冠鹰矿业集团有限公司狮子岩建筑石料用灰岩矿山（改建）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710" w:type="dxa"/>
            <w:gridSpan w:val="6"/>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875"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罗青海</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2022年</w:t>
            </w:r>
            <w:r>
              <w:rPr>
                <w:rFonts w:ascii="仿宋" w:hAnsi="仿宋" w:eastAsia="仿宋" w:cs="仿宋"/>
                <w:color w:val="000000"/>
                <w:szCs w:val="21"/>
              </w:rPr>
              <w:t>12</w:t>
            </w:r>
            <w:r>
              <w:rPr>
                <w:rFonts w:hint="eastAsia" w:ascii="仿宋" w:hAnsi="仿宋" w:eastAsia="仿宋" w:cs="仿宋"/>
                <w:color w:val="000000"/>
                <w:szCs w:val="21"/>
              </w:rPr>
              <w:t>月</w:t>
            </w:r>
          </w:p>
        </w:tc>
        <w:tc>
          <w:tcPr>
            <w:tcW w:w="2169"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蔡治勇</w:t>
            </w:r>
          </w:p>
        </w:tc>
        <w:tc>
          <w:tcPr>
            <w:tcW w:w="2156"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026313</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仿宋"/>
                <w:szCs w:val="21"/>
              </w:rPr>
              <w:t xml:space="preserve">  </w:t>
            </w:r>
            <w:r>
              <w:rPr>
                <w:rFonts w:hint="eastAsia" w:ascii="仿宋" w:hAnsi="仿宋" w:eastAsia="仿宋" w:cs="Arial"/>
                <w:szCs w:val="28"/>
              </w:rPr>
              <w:t>重庆冠鹰矿业集团有限公司于2018年由重庆市冠鹰建材有限公司、重庆日城建材有限公司和重庆宸甲建材有限公司三家公司整合更名而来，公司成立于2012年05月30日，法定代表人为：林建寿，统一社会信用代码：9150011759674734X2，经济类型属有限责任公司，注册资本壹仟万元整，位于重庆市合川区草街街道办事处高枧村三社，经营范围有建筑石料用灰岩露天开采、销售建筑材料、石灰石等。</w:t>
            </w:r>
          </w:p>
          <w:p>
            <w:pPr>
              <w:adjustRightInd w:val="0"/>
              <w:snapToGrid w:val="0"/>
              <w:spacing w:line="276" w:lineRule="auto"/>
              <w:ind w:firstLine="210" w:firstLineChars="100"/>
              <w:rPr>
                <w:rFonts w:ascii="仿宋" w:hAnsi="仿宋" w:eastAsia="仿宋" w:cs="Arial"/>
                <w:szCs w:val="28"/>
              </w:rPr>
            </w:pPr>
            <w:r>
              <w:rPr>
                <w:rFonts w:hint="eastAsia" w:ascii="仿宋" w:hAnsi="仿宋" w:eastAsia="仿宋" w:cs="Arial"/>
                <w:szCs w:val="28"/>
              </w:rPr>
              <w:t>其矿山位于合川区草街街道。采矿许可证，采矿许可证号：C5001172020067150150120，有效期为：2020年5月29日至2023年5月29日，开采方式为露天开采，生产规模100万吨/年，矿区面积：0.3028km</w:t>
            </w:r>
            <w:r>
              <w:rPr>
                <w:rFonts w:hint="eastAsia" w:ascii="仿宋" w:hAnsi="仿宋" w:eastAsia="仿宋" w:cs="Arial"/>
                <w:szCs w:val="28"/>
                <w:vertAlign w:val="superscript"/>
              </w:rPr>
              <w:t>2</w:t>
            </w:r>
            <w:r>
              <w:rPr>
                <w:rFonts w:hint="eastAsia" w:ascii="仿宋" w:hAnsi="仿宋" w:eastAsia="仿宋" w:cs="Arial"/>
                <w:szCs w:val="28"/>
              </w:rPr>
              <w:t>，开采标高+477m～+371m。矿山原设计根据企业委托结合实际矿层赋存条件情况采用分区同时开采，沿用矿区南侧已建成的工业广场及生产生活设施。由于当时未找到合理位置堆放和处置矿层中需要剥离的嘉陵江组二段夹层，企业决定暂时放弃底部嘉陵江组一段石灰岩的开采，减少嘉陵江组二段夹层的剥离，仅开采上部嘉陵江组三段石灰岩资源，从而矿山后期将形成凹陷开采。如今企业与重庆市合川区杨二嫂生物科技有限公司协商一致，矿山夹层废石用于回填其公司新建厂房及停车场。因此能够妥善解决剥离的嘉陵江组二段夹层问题，同时，为避免形成凹陷开采，消除后期形成凹坑的安全隐患，企业拟根据实际情况重新调整开采范围及开采标高。对全矿区剩余资源进行综合利用。</w:t>
            </w:r>
            <w:r>
              <w:rPr>
                <w:rFonts w:hint="eastAsia" w:ascii="仿宋" w:hAnsi="仿宋" w:eastAsia="仿宋" w:cs="仿宋"/>
                <w:szCs w:val="21"/>
              </w:rPr>
              <w:t>根据《建设项目安全设施“三同时”监督管理办法》（国家安全监管总局令〔2010〕第36号公布，国家安全监管总局令〔2015〕第77号修正）、《重庆市安全生产监督管理局关于进一步规范全市非煤矿山安全生产行政许可工作的通知》等有关规定，企业应按照改建性质履行安全设施“三同时”程序。鉴于此，重庆冠鹰矿业集团有限公司于2022年</w:t>
            </w:r>
            <w:r>
              <w:rPr>
                <w:rFonts w:ascii="仿宋" w:hAnsi="仿宋" w:eastAsia="仿宋" w:cs="仿宋"/>
                <w:szCs w:val="21"/>
              </w:rPr>
              <w:t>11</w:t>
            </w:r>
            <w:r>
              <w:rPr>
                <w:rFonts w:hint="eastAsia" w:ascii="仿宋" w:hAnsi="仿宋" w:eastAsia="仿宋" w:cs="仿宋"/>
                <w:szCs w:val="21"/>
              </w:rPr>
              <w:t>月委托重庆市安全生产科学研究有限公司对该矿山进行安全预评价。</w:t>
            </w:r>
          </w:p>
          <w:p>
            <w:pPr>
              <w:pStyle w:val="2"/>
              <w:ind w:firstLine="24"/>
            </w:pPr>
            <w:r>
              <w:drawing>
                <wp:inline distT="0" distB="0" distL="114300" distR="114300">
                  <wp:extent cx="4067175" cy="29432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67175" cy="2943225"/>
                          </a:xfrm>
                          <a:prstGeom prst="rect">
                            <a:avLst/>
                          </a:prstGeom>
                          <a:noFill/>
                          <a:ln>
                            <a:noFill/>
                          </a:ln>
                        </pic:spPr>
                      </pic:pic>
                    </a:graphicData>
                  </a:graphic>
                </wp:inline>
              </w:drawing>
            </w:r>
          </w:p>
          <w:p>
            <w:pPr>
              <w:adjustRightInd w:val="0"/>
              <w:snapToGrid w:val="0"/>
              <w:spacing w:line="360" w:lineRule="auto"/>
              <w:rPr>
                <w:rFonts w:hint="eastAsia" w:ascii="仿宋" w:hAnsi="仿宋" w:eastAsia="仿宋" w:cs="仿宋"/>
                <w:color w:val="000000"/>
                <w:szCs w:val="21"/>
              </w:rPr>
            </w:pPr>
            <w:r>
              <w:rPr>
                <w:rFonts w:eastAsia="Times New Roman"/>
                <w:snapToGrid w:val="0"/>
                <w:color w:val="000000"/>
                <w:w w:val="0"/>
                <w:kern w:val="0"/>
                <w:sz w:val="0"/>
                <w:szCs w:val="0"/>
                <w:u w:val="none" w:color="000000"/>
                <w:shd w:val="clear" w:color="000000" w:fil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11</w:t>
            </w:r>
            <w:r>
              <w:rPr>
                <w:rFonts w:hint="eastAsia" w:cs="仿宋"/>
                <w:spacing w:val="-14"/>
                <w:sz w:val="21"/>
                <w:szCs w:val="21"/>
                <w:lang w:eastAsia="zh-CN"/>
              </w:rPr>
              <w:t>月</w:t>
            </w:r>
            <w:r>
              <w:rPr>
                <w:rFonts w:cs="仿宋"/>
                <w:spacing w:val="-14"/>
                <w:sz w:val="21"/>
                <w:szCs w:val="21"/>
                <w:lang w:eastAsia="zh-CN"/>
              </w:rPr>
              <w:t>9</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11</w:t>
            </w:r>
            <w:r>
              <w:rPr>
                <w:rFonts w:hint="eastAsia" w:ascii="仿宋" w:hAnsi="仿宋" w:eastAsia="仿宋" w:cs="仿宋"/>
                <w:spacing w:val="-14"/>
                <w:szCs w:val="21"/>
              </w:rPr>
              <w:t>月</w:t>
            </w:r>
            <w:r>
              <w:rPr>
                <w:rFonts w:ascii="仿宋" w:hAnsi="仿宋" w:eastAsia="仿宋" w:cs="仿宋"/>
                <w:spacing w:val="-14"/>
                <w:szCs w:val="21"/>
              </w:rPr>
              <w:t>9</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4BE4A47"/>
    <w:rsid w:val="34BE4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2022-12-22T03:14:00Z</dcterms:created>
  <dc:creator>雷楠</dc:creator>
  <cp:lastModifiedBy>雷楠</cp:lastModifiedBy>
  <dcterms:modified xsi:type="dcterms:W3CDTF">2022-12-22T03:14:51Z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251422933E234C06954AD708709E8E1D</vt:lpwstr>
  </property>
</Properties>
</file>