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9322"/>
      <w:bookmarkStart w:id="1" w:name="_Toc27661"/>
      <w:bookmarkStart w:id="2" w:name="_Toc16094"/>
      <w:bookmarkStart w:id="3" w:name="_Toc16246"/>
      <w:bookmarkStart w:id="4" w:name="_Toc24090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16"/>
        <w:gridCol w:w="633"/>
        <w:gridCol w:w="311"/>
        <w:gridCol w:w="1287"/>
        <w:gridCol w:w="163"/>
        <w:gridCol w:w="429"/>
        <w:gridCol w:w="290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default" w:ascii="仿宋" w:hAnsi="仿宋" w:eastAsia="仿宋"/>
                <w:lang w:val="en-US" w:eastAsia="zh-CN"/>
              </w:rPr>
              <w:t>重庆忠润能源有限公司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default" w:ascii="Arial" w:hAnsi="Arial" w:eastAsia="仿宋" w:cs="Arial"/>
                <w:sz w:val="24"/>
                <w:lang w:val="en-US" w:eastAsia="zh-CN"/>
              </w:rPr>
              <w:t>忠县日处理160万方页岩气液化储备调峰及综合利用项目（二期）安全验收评价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 xml:space="preserve">预评价  </w:t>
            </w: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 xml:space="preserve">现状评价   </w:t>
            </w:r>
            <w:r>
              <w:rPr>
                <w:rFonts w:hint="eastAsia" w:ascii="仿宋" w:hAnsi="仿宋" w:eastAsia="仿宋"/>
                <w:lang w:eastAsia="zh-CN"/>
              </w:rPr>
              <w:t>☑</w:t>
            </w:r>
            <w:r>
              <w:rPr>
                <w:rFonts w:hint="eastAsia" w:ascii="仿宋" w:hAnsi="仿宋" w:eastAsia="仿宋"/>
              </w:rPr>
              <w:t xml:space="preserve">验收评价  </w:t>
            </w: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危险化学品生产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王梅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林先洪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2023.12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黄安勇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王梅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S011053000110191001147/019244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55090076425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张圣菊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S011053000110192003084/026161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37150168124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55190209531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机械专业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1800000000201223/020783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肖泽钧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S011044000110193002230/036057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S011053000110192002940/037978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1700000000201153/019235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林先洪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冶金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S011011000110193000064/036140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55210262947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S011053000110192003183/035592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552002341140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1800000000100099/019234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</w:rPr>
            </w:pPr>
            <w:r>
              <w:rPr>
                <w:rFonts w:ascii="仿宋" w:hAnsi="仿宋" w:eastAsia="仿宋" w:cs="Times New Roman"/>
              </w:rPr>
              <w:t>冯  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S011053000110201000802/019237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</w:rPr>
              <w:t>日处理天然气100×104m³液化天然气生产装置1套，二期增设2个装车橇，增设原料气脱烃装置，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2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124960" cy="3067050"/>
                  <wp:effectExtent l="0" t="0" r="889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960" cy="306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刘国勇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2023.3.14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对项目情况周边环境、法律法规与项目总平面布置进行勘察</w:t>
            </w:r>
          </w:p>
        </w:tc>
        <w:tc>
          <w:tcPr>
            <w:tcW w:w="244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Arial" w:hAnsi="Arial" w:cs="Arial"/>
                <w:lang w:eastAsia="zh-CN"/>
              </w:rPr>
            </w:pPr>
            <w:r>
              <w:rPr>
                <w:rFonts w:ascii="Arial" w:hAnsi="Arial" w:cs="Arial"/>
              </w:rPr>
              <w:t>重烃罐区管道部分法兰未跨接，螺栓未打黄油</w:t>
            </w:r>
            <w:r>
              <w:rPr>
                <w:rFonts w:hint="eastAsia" w:ascii="Arial" w:hAnsi="Arial" w:cs="Arial"/>
                <w:lang w:eastAsia="zh-CN"/>
              </w:rPr>
              <w:t>；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Arial" w:hAnsi="Arial" w:cs="Arial"/>
                <w:lang w:eastAsia="zh-CN"/>
              </w:rPr>
            </w:pPr>
            <w:r>
              <w:rPr>
                <w:rFonts w:ascii="Arial" w:hAnsi="Arial" w:cs="Arial"/>
              </w:rPr>
              <w:t>二期在线分析室内有不防爆的插线板</w:t>
            </w:r>
            <w:r>
              <w:rPr>
                <w:rFonts w:hint="eastAsia" w:ascii="Arial" w:hAnsi="Arial" w:cs="Arial"/>
                <w:lang w:eastAsia="zh-CN"/>
              </w:rPr>
              <w:t>；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Arial" w:hAnsi="Arial" w:cs="Arial"/>
                <w:lang w:eastAsia="zh-CN"/>
              </w:rPr>
            </w:pPr>
            <w:r>
              <w:rPr>
                <w:rFonts w:ascii="Arial" w:hAnsi="Arial" w:cs="Arial"/>
              </w:rPr>
              <w:t>冷剂罐区部分部位采用防火泥封堵，不符合防爆要求</w:t>
            </w:r>
            <w:r>
              <w:rPr>
                <w:rFonts w:hint="eastAsia" w:ascii="Arial" w:hAnsi="Arial" w:cs="Arial"/>
                <w:lang w:eastAsia="zh-CN"/>
              </w:rPr>
              <w:t>；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Arial" w:hAnsi="Arial" w:cs="Arial"/>
                <w:lang w:eastAsia="zh-CN"/>
              </w:rPr>
            </w:pPr>
            <w:r>
              <w:rPr>
                <w:rFonts w:ascii="Arial" w:hAnsi="Arial" w:cs="Arial"/>
              </w:rPr>
              <w:t>重烃储罐护笼设置不符合规范要求</w:t>
            </w:r>
            <w:r>
              <w:rPr>
                <w:rFonts w:hint="eastAsia" w:ascii="Arial" w:hAnsi="Arial" w:cs="Arial"/>
                <w:lang w:eastAsia="zh-CN"/>
              </w:rPr>
              <w:t>；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Arial" w:hAnsi="Arial" w:cs="Arial"/>
                <w:lang w:eastAsia="zh-CN"/>
              </w:rPr>
            </w:pPr>
            <w:r>
              <w:rPr>
                <w:rFonts w:ascii="Arial" w:hAnsi="Arial" w:cs="Arial"/>
              </w:rPr>
              <w:t>二期部分设备如充装橇未安装、调试完成</w:t>
            </w:r>
            <w:r>
              <w:rPr>
                <w:rFonts w:hint="eastAsia" w:ascii="Arial" w:hAnsi="Arial" w:cs="Arial"/>
                <w:lang w:eastAsia="zh-CN"/>
              </w:rPr>
              <w:t>；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Arial" w:hAnsi="Arial" w:cs="Arial"/>
                <w:lang w:eastAsia="zh-CN"/>
              </w:rPr>
            </w:pPr>
            <w:r>
              <w:rPr>
                <w:rFonts w:ascii="Arial" w:hAnsi="Arial" w:cs="Arial"/>
                <w:color w:val="000000"/>
              </w:rPr>
              <w:t>二期液化装置区个别踢脚线设置不符合规范要求</w:t>
            </w:r>
            <w:r>
              <w:rPr>
                <w:rFonts w:hint="eastAsia" w:ascii="Arial" w:hAnsi="Arial" w:cs="Arial"/>
                <w:color w:val="000000"/>
                <w:lang w:eastAsia="zh-CN"/>
              </w:rPr>
              <w:t>；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Arial" w:hAnsi="Arial" w:cs="Arial"/>
                <w:lang w:eastAsia="zh-CN"/>
              </w:rPr>
            </w:pPr>
            <w:r>
              <w:rPr>
                <w:rFonts w:ascii="Arial" w:hAnsi="Arial" w:cs="Arial"/>
              </w:rPr>
              <w:t>核实二期在线分析室分析箱是否防爆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lang w:val="en-US" w:eastAsia="zh-CN"/>
              </w:rPr>
              <w:t>李鹏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冯皓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2023.3.14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对项目情况周边环境、法律法规与项目总平面布置进行勘察</w:t>
            </w:r>
          </w:p>
        </w:tc>
        <w:tc>
          <w:tcPr>
            <w:tcW w:w="244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lang w:val="en-US" w:eastAsia="zh-CN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王梅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2023.3.14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</w:rPr>
              <w:t>对项目情况周边环境、法律法规与项目总平面布置进行勘察</w:t>
            </w:r>
          </w:p>
        </w:tc>
        <w:tc>
          <w:tcPr>
            <w:tcW w:w="244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林先洪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202.33.14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项目资料收集</w:t>
            </w:r>
          </w:p>
        </w:tc>
        <w:tc>
          <w:tcPr>
            <w:tcW w:w="244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51AFD2"/>
    <w:multiLevelType w:val="singleLevel"/>
    <w:tmpl w:val="3D51AFD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D7D42"/>
    <w:rsid w:val="5D9D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 w:afterLines="0" w:afterAutospacing="0"/>
      <w:ind w:left="420" w:leftChars="200"/>
    </w:pPr>
  </w:style>
  <w:style w:type="paragraph" w:styleId="3">
    <w:name w:val="toc 4"/>
    <w:basedOn w:val="1"/>
    <w:next w:val="1"/>
    <w:qFormat/>
    <w:uiPriority w:val="0"/>
    <w:pPr>
      <w:ind w:left="840"/>
      <w:jc w:val="left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2023-12-05T06:41:00Z</dcterms:created>
  <dc:creator>雷楠</dc:creator>
  <cp:lastModifiedBy>雷楠</cp:lastModifiedBy>
  <dcterms:modified xsi:type="dcterms:W3CDTF">2023-12-05T06:41:43Z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