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094"/>
      <w:bookmarkStart w:id="1" w:name="_Toc16246"/>
      <w:bookmarkStart w:id="2" w:name="_Toc29322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bookmarkStart w:id="3" w:name="_Toc25456"/>
            <w:r>
              <w:rPr>
                <w:rFonts w:hint="eastAsia" w:ascii="仿宋" w:hAnsi="仿宋" w:eastAsia="仿宋" w:cs="Times New Roman"/>
                <w:sz w:val="21"/>
                <w:szCs w:val="21"/>
              </w:rPr>
              <w:t>中石化</w:t>
            </w:r>
            <w:bookmarkEnd w:id="3"/>
            <w:r>
              <w:rPr>
                <w:rFonts w:hint="eastAsia" w:ascii="仿宋" w:hAnsi="仿宋" w:eastAsia="仿宋" w:cs="Times New Roman"/>
                <w:sz w:val="21"/>
                <w:szCs w:val="21"/>
              </w:rPr>
              <w:t>江汉油田分公司油气产能建设管理中心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红星地区建南区块红页1-红页2井区评建项目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□验收评价    □现状评价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vAlign w:val="center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包鹏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S011053000110192003183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</w:t>
            </w:r>
            <w:r>
              <w:rPr>
                <w:rFonts w:ascii="仿宋" w:hAnsi="仿宋" w:eastAsia="仿宋"/>
                <w:sz w:val="21"/>
                <w:szCs w:val="21"/>
              </w:rPr>
              <w:t>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6" w:hRule="exac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560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</w:rPr>
              <w:t>项目简介：</w:t>
            </w: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红星地区建南区块红页1-红页2井区位于湖北省恩施土家族苗族自治州利川市建南镇境内。红星地区建南区块红页1-红页2井区评建项目（以下简称“本工程”）地面集输工程建设内容主要包括：新建6井式集气站2座（红页2集气站、红页18集气站）；新建8井式集气站1座（红页6集气站）；扩建试采站1座（红页1试采站）；新建清管阀室1座；新建集气干线1条（清管阀室~净化站）；新建集气支线1条（红页18平台~集气干线）；新建红页18平台～红页16平台～红页1平台集气支线1条；新建燃料气返输管道1条；新建采出水转输管线1条。天然气净化工程建设内容主要包括：新建净化站1座，集气总站和外输首站与净化站合建；扩建北集站1座。以及与上述工程配套的自控、供配电、通信、给排水及消防、总图、建构筑物等公用工程。</w:t>
            </w:r>
          </w:p>
          <w:p>
            <w:pPr>
              <w:spacing w:line="240" w:lineRule="auto"/>
              <w:ind w:firstLine="560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本工程气质组分以甲烷为主，平均含量89.406%，低含硫化氢，硫化氢含量0.448%（6429mg/Nm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）。</w:t>
            </w:r>
          </w:p>
          <w:p>
            <w:pPr>
              <w:adjustRightInd w:val="0"/>
              <w:snapToGrid w:val="0"/>
              <w:spacing w:line="240" w:lineRule="auto"/>
              <w:ind w:firstLine="560" w:firstLineChars="0"/>
              <w:rPr>
                <w:rFonts w:hint="eastAsia" w:ascii="仿宋" w:hAnsi="仿宋" w:eastAsia="仿宋"/>
                <w:b/>
                <w:bCs/>
                <w:sz w:val="21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</w:rPr>
              <w:t>现场勘察照片：</w:t>
            </w:r>
          </w:p>
          <w:p>
            <w:pPr>
              <w:adjustRightInd w:val="0"/>
              <w:snapToGrid w:val="0"/>
              <w:spacing w:line="240" w:lineRule="auto"/>
              <w:ind w:left="0" w:leftChars="0" w:firstLine="0" w:firstLineChars="0"/>
              <w:rPr>
                <w:rFonts w:hint="eastAsia" w:ascii="仿宋" w:hAnsi="仿宋" w:eastAsia="仿宋"/>
                <w:b/>
                <w:bCs/>
                <w:sz w:val="21"/>
                <w:lang w:eastAsia="zh-CN"/>
              </w:rPr>
            </w:pPr>
            <w:r>
              <w:drawing>
                <wp:inline distT="0" distB="0" distL="114300" distR="114300">
                  <wp:extent cx="4171950" cy="3048000"/>
                  <wp:effectExtent l="0" t="0" r="0" b="0"/>
                  <wp:docPr id="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1950" cy="304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4" w:name="_GoBack"/>
            <w:bookmarkEnd w:id="4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Merge w:val="restart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集气站、净化站与周边架空电力线、通信线间距不满足规范要求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田茂毅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25454F"/>
    <w:rsid w:val="6C254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2023-10-23T08:57:00Z</dcterms:created>
  <dc:creator>雷楠</dc:creator>
  <cp:lastModifiedBy>雷楠</cp:lastModifiedBy>
  <dcterms:modified xsi:type="dcterms:W3CDTF">2023-10-23T08:57:24Z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