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29322"/>
      <w:bookmarkStart w:id="1" w:name="_Toc24090"/>
      <w:bookmarkStart w:id="2" w:name="_Toc16246"/>
      <w:bookmarkStart w:id="3" w:name="_Toc27661"/>
      <w:bookmarkStart w:id="4" w:name="_Toc16094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重庆市晨景烟花爆竹有限公司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烟花爆竹储存库安全现状评价报告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2023.12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包鹏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薛国臣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025841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包鹏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电气、安全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S011021000110191000318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重庆市晨景烟花爆竹有限公司成立日期：2017年10月23日；公司类型：有限责任公司；住所：重庆市万州区李河镇高升村一组133号；法定代表人：聂诗伟；注册资本：捌拾万元整；经营范围：批发烟花爆竹等。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ind w:left="0" w:leftChars="0" w:firstLine="0" w:firstLineChars="0"/>
              <w:jc w:val="center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drawing>
                <wp:inline distT="0" distB="0" distL="114300" distR="114300">
                  <wp:extent cx="4524375" cy="2792730"/>
                  <wp:effectExtent l="0" t="0" r="9525" b="762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4375" cy="2792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20231102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945CCC"/>
    <w:rsid w:val="75945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2023-12-08T02:49:00Z</dcterms:created>
  <dc:creator>雷楠</dc:creator>
  <cp:lastModifiedBy>雷楠</cp:lastModifiedBy>
  <dcterms:modified xsi:type="dcterms:W3CDTF">2023-12-08T02:49:40Z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