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中国石化销售股份有限公司重庆石油分公司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中国石化销售股份有限公司重庆石油分公司綦江渝黔加气站安全现状评价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hint="eastAsia" w:ascii="仿宋" w:hAnsi="仿宋" w:eastAsia="仿宋"/>
                <w:szCs w:val="21"/>
              </w:rPr>
              <w:t>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2023.12</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eastAsia" w:ascii="仿宋" w:hAnsi="仿宋" w:eastAsia="宋体" w:cs="宋体"/>
                <w:szCs w:val="21"/>
                <w:lang w:eastAsia="zh-CN"/>
              </w:rPr>
            </w:pPr>
            <w:r>
              <w:rPr>
                <w:rFonts w:hint="eastAsia" w:ascii="Arial" w:hAnsi="Arial" w:cs="Arial"/>
                <w:snapToGrid w:val="0"/>
                <w:kern w:val="0"/>
                <w:szCs w:val="28"/>
                <w:lang w:eastAsia="zh-CN"/>
              </w:rPr>
              <w:t>中国石化销售股份有限公司重庆石油分公司綦江渝黔加气站</w:t>
            </w:r>
            <w:r>
              <w:rPr>
                <w:rFonts w:ascii="Arial" w:hAnsi="Arial" w:cs="Arial"/>
                <w:snapToGrid w:val="0"/>
                <w:kern w:val="0"/>
                <w:szCs w:val="28"/>
              </w:rPr>
              <w:t>（以下简称：</w:t>
            </w:r>
            <w:r>
              <w:rPr>
                <w:rFonts w:hint="eastAsia" w:ascii="Arial" w:hAnsi="Arial" w:cs="Arial"/>
                <w:snapToGrid w:val="0"/>
                <w:kern w:val="0"/>
                <w:szCs w:val="28"/>
                <w:lang w:eastAsia="zh-CN"/>
              </w:rPr>
              <w:t>綦江渝黔加气站</w:t>
            </w:r>
            <w:r>
              <w:rPr>
                <w:rFonts w:ascii="Arial" w:hAnsi="Arial" w:cs="Arial"/>
                <w:snapToGrid w:val="0"/>
                <w:kern w:val="0"/>
                <w:szCs w:val="28"/>
              </w:rPr>
              <w:t>）位于</w:t>
            </w:r>
            <w:r>
              <w:rPr>
                <w:rFonts w:hint="eastAsia" w:ascii="Arial" w:hAnsi="Arial" w:cs="Arial"/>
                <w:snapToGrid w:val="0"/>
                <w:kern w:val="0"/>
                <w:szCs w:val="28"/>
                <w:lang w:eastAsia="zh-CN"/>
              </w:rPr>
              <w:t>重庆市綦江区古南街道独石沱</w:t>
            </w:r>
            <w:r>
              <w:rPr>
                <w:rFonts w:ascii="Arial" w:hAnsi="Arial" w:cs="Arial"/>
                <w:snapToGrid w:val="0"/>
                <w:kern w:val="0"/>
                <w:szCs w:val="28"/>
              </w:rPr>
              <w:t>，占地面积</w:t>
            </w:r>
            <w:r>
              <w:rPr>
                <w:rFonts w:hint="eastAsia" w:ascii="Arial" w:hAnsi="Arial" w:cs="Arial"/>
                <w:snapToGrid w:val="0"/>
                <w:kern w:val="0"/>
                <w:szCs w:val="28"/>
                <w:lang w:eastAsia="zh-CN"/>
              </w:rPr>
              <w:t>1554.38</w:t>
            </w:r>
            <w:r>
              <w:rPr>
                <w:rFonts w:ascii="Arial" w:hAnsi="Arial" w:cs="Arial"/>
                <w:snapToGrid w:val="0"/>
                <w:kern w:val="0"/>
                <w:szCs w:val="28"/>
              </w:rPr>
              <w:t>m</w:t>
            </w:r>
            <w:r>
              <w:rPr>
                <w:rFonts w:ascii="Arial" w:hAnsi="Arial" w:cs="Arial"/>
                <w:snapToGrid w:val="0"/>
                <w:kern w:val="0"/>
                <w:szCs w:val="28"/>
                <w:vertAlign w:val="superscript"/>
              </w:rPr>
              <w:t>2</w:t>
            </w:r>
            <w:r>
              <w:rPr>
                <w:rFonts w:ascii="Arial" w:hAnsi="Arial" w:cs="Arial"/>
                <w:snapToGrid w:val="0"/>
                <w:kern w:val="0"/>
                <w:szCs w:val="28"/>
              </w:rPr>
              <w:t>，建筑面积</w:t>
            </w:r>
            <w:r>
              <w:rPr>
                <w:rFonts w:hint="eastAsia" w:ascii="Arial" w:hAnsi="Arial" w:cs="Arial"/>
                <w:snapToGrid w:val="0"/>
                <w:kern w:val="0"/>
                <w:szCs w:val="28"/>
                <w:lang w:eastAsia="zh-CN"/>
              </w:rPr>
              <w:t>458.28</w:t>
            </w:r>
            <w:r>
              <w:rPr>
                <w:rFonts w:ascii="Arial" w:hAnsi="Arial" w:cs="Arial"/>
                <w:snapToGrid w:val="0"/>
                <w:kern w:val="0"/>
                <w:szCs w:val="28"/>
              </w:rPr>
              <w:t>m</w:t>
            </w:r>
            <w:r>
              <w:rPr>
                <w:rFonts w:ascii="Arial" w:hAnsi="Arial" w:cs="Arial"/>
                <w:snapToGrid w:val="0"/>
                <w:kern w:val="0"/>
                <w:szCs w:val="28"/>
                <w:vertAlign w:val="superscript"/>
              </w:rPr>
              <w:t>2</w:t>
            </w:r>
            <w:r>
              <w:rPr>
                <w:rFonts w:ascii="Arial" w:hAnsi="Arial" w:cs="Arial"/>
                <w:snapToGrid w:val="0"/>
                <w:kern w:val="0"/>
                <w:szCs w:val="28"/>
              </w:rPr>
              <w:t>，站内设</w:t>
            </w:r>
            <w:r>
              <w:rPr>
                <w:rFonts w:hint="eastAsia" w:ascii="Arial" w:hAnsi="Arial" w:cs="Arial"/>
                <w:snapToGrid w:val="0"/>
                <w:kern w:val="0"/>
                <w:szCs w:val="28"/>
                <w:lang w:val="en-US" w:eastAsia="zh-CN"/>
              </w:rPr>
              <w:t>4</w:t>
            </w:r>
            <w:r>
              <w:rPr>
                <w:rFonts w:ascii="Arial" w:hAnsi="Arial" w:cs="Arial"/>
                <w:snapToGrid w:val="0"/>
                <w:kern w:val="0"/>
                <w:szCs w:val="28"/>
              </w:rPr>
              <w:t>个3m</w:t>
            </w:r>
            <w:r>
              <w:rPr>
                <w:rFonts w:ascii="Arial" w:hAnsi="Arial" w:cs="Arial"/>
                <w:snapToGrid w:val="0"/>
                <w:kern w:val="0"/>
                <w:szCs w:val="28"/>
                <w:vertAlign w:val="superscript"/>
              </w:rPr>
              <w:t>3</w:t>
            </w:r>
            <w:r>
              <w:rPr>
                <w:rFonts w:ascii="Arial" w:hAnsi="Arial" w:cs="Arial"/>
                <w:snapToGrid w:val="0"/>
                <w:kern w:val="0"/>
                <w:szCs w:val="28"/>
              </w:rPr>
              <w:t>地下立式高压储气井（总水容积</w:t>
            </w:r>
            <w:r>
              <w:rPr>
                <w:rFonts w:hint="eastAsia" w:ascii="Arial" w:hAnsi="Arial" w:cs="Arial"/>
                <w:snapToGrid w:val="0"/>
                <w:kern w:val="0"/>
                <w:szCs w:val="28"/>
                <w:lang w:val="en-US" w:eastAsia="zh-CN"/>
              </w:rPr>
              <w:t>12</w:t>
            </w:r>
            <w:r>
              <w:rPr>
                <w:rFonts w:ascii="Arial" w:hAnsi="Arial" w:cs="Arial"/>
                <w:snapToGrid w:val="0"/>
                <w:kern w:val="0"/>
                <w:szCs w:val="28"/>
              </w:rPr>
              <w:t>m</w:t>
            </w:r>
            <w:r>
              <w:rPr>
                <w:rFonts w:ascii="Arial" w:hAnsi="Arial" w:cs="Arial"/>
                <w:snapToGrid w:val="0"/>
                <w:kern w:val="0"/>
                <w:szCs w:val="28"/>
                <w:vertAlign w:val="superscript"/>
              </w:rPr>
              <w:t>3</w:t>
            </w:r>
            <w:r>
              <w:rPr>
                <w:rFonts w:ascii="Arial" w:hAnsi="Arial" w:cs="Arial"/>
                <w:snapToGrid w:val="0"/>
                <w:kern w:val="0"/>
                <w:szCs w:val="28"/>
              </w:rPr>
              <w:t>），</w:t>
            </w:r>
            <w:r>
              <w:rPr>
                <w:rFonts w:hint="eastAsia" w:ascii="Arial" w:hAnsi="Arial" w:cs="Arial"/>
                <w:snapToGrid w:val="0"/>
                <w:kern w:val="0"/>
                <w:szCs w:val="28"/>
                <w:lang w:val="en-US" w:eastAsia="zh-CN"/>
              </w:rPr>
              <w:t>2</w:t>
            </w:r>
            <w:r>
              <w:rPr>
                <w:rFonts w:ascii="Arial" w:hAnsi="Arial" w:cs="Arial"/>
                <w:snapToGrid w:val="0"/>
                <w:kern w:val="0"/>
                <w:szCs w:val="28"/>
              </w:rPr>
              <w:t>台</w:t>
            </w:r>
            <w:r>
              <w:rPr>
                <w:rFonts w:hint="eastAsia" w:ascii="Arial" w:hAnsi="Arial" w:cs="Arial"/>
                <w:snapToGrid w:val="0"/>
                <w:kern w:val="0"/>
                <w:szCs w:val="28"/>
                <w:lang w:val="en-US" w:eastAsia="zh-CN"/>
              </w:rPr>
              <w:t>双枪</w:t>
            </w:r>
            <w:r>
              <w:rPr>
                <w:rFonts w:ascii="Arial" w:hAnsi="Arial" w:cs="Arial"/>
                <w:snapToGrid w:val="0"/>
                <w:kern w:val="0"/>
                <w:szCs w:val="28"/>
              </w:rPr>
              <w:t>加气机。根据《汽车加油加气加氢站技术标准》（GB50156-2021）第3.0.11、3.0.12条，该站属于三级CNG加气站。</w:t>
            </w:r>
            <w:r>
              <w:drawing>
                <wp:inline distT="0" distB="0" distL="114300" distR="114300">
                  <wp:extent cx="4962525" cy="3768725"/>
                  <wp:effectExtent l="0" t="0" r="9525" b="31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962525" cy="37687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2023.10.20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0475D2"/>
    <w:rsid w:val="6A047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2024-01-02T02:27:00Z</dcterms:created>
  <dc:creator>雷楠</dc:creator>
  <cp:lastModifiedBy>雷楠</cp:lastModifiedBy>
  <dcterms:modified xsi:type="dcterms:W3CDTF">2024-01-02T02:28:03Z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