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重庆燃气集团股份有限公司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晏鱼线输气管道涉长寿经开区低碳循环经济区迁改工程安全评价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陆上管道运输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蒋平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陈美宝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易安柯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2024.9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段美满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 w:bidi="ar-SA"/>
              </w:rPr>
              <w:t>蒋平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采油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S0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11053000110202001809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易安柯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S011053000110193002441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雷 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楠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cs="宋体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钟 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工艺设备与控制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1700000000201054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自动化（仪表）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szCs w:val="21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闫云光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电  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S011053000110192002943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刘菊梅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 xml:space="preserve">防 </w:t>
            </w:r>
            <w:r>
              <w:rPr>
                <w:rFonts w:ascii="宋体" w:hAnsi="宋体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1"/>
                <w:szCs w:val="21"/>
              </w:rPr>
              <w:t>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1500000000100202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 w:bidi="ar-SA"/>
              </w:rPr>
              <w:t>何文勋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安  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S0110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53000110193002272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18"/>
                <w:szCs w:val="18"/>
              </w:rPr>
              <w:t>本项目新建长寿区晏家街道输气管道1742m，起于拟建YY01桩，止于拟建YY39桩。按《输气管道工程设计规范》（GB50251-2015）设计，设计压力4.5MPa，设计输气量350×104Nm3/d，管道规格D508×8.8/D508×10.0，管材选用L360M PSL2直缝埋弧焊钢管，并采用三层PE常温型加强级外防腐层＋强制电流阴极保护。报废长寿区晏家街道输气管道长度约1940m，位于晏鱼线沙溪地块段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3686175" cy="269557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86175" cy="2695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易安柯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2023.5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蒋平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734274"/>
    <w:rsid w:val="47734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qFormat/>
    <w:uiPriority w:val="0"/>
    <w:pPr>
      <w:ind w:firstLine="480" w:firstLineChars="200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2024-10-14T06:27:00Z</dcterms:created>
  <dc:creator>雷楠</dc:creator>
  <cp:lastModifiedBy>雷楠</cp:lastModifiedBy>
  <dcterms:modified xsi:type="dcterms:W3CDTF">2024-10-14T06:28:06Z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